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B93" w:rsidRPr="00050B1E" w:rsidRDefault="007A4C71" w:rsidP="00130ED7">
      <w:pPr>
        <w:pStyle w:val="ListParagraph"/>
        <w:numPr>
          <w:ilvl w:val="0"/>
          <w:numId w:val="1"/>
        </w:numPr>
        <w:jc w:val="both"/>
        <w:rPr>
          <w:b/>
        </w:rPr>
      </w:pPr>
      <w:r w:rsidRPr="00050B1E">
        <w:rPr>
          <w:rFonts w:ascii="Sylfaen" w:hAnsi="Sylfaen"/>
          <w:b/>
          <w:lang w:val="ka-GE"/>
        </w:rPr>
        <w:t>შესავალი</w:t>
      </w:r>
    </w:p>
    <w:p w:rsidR="00A433F0" w:rsidRDefault="00007D36" w:rsidP="00130ED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ჯანდაცვის სამინისტროს მიერ განხორციელებული თითოეული რეფორმა </w:t>
      </w:r>
      <w:r w:rsidR="00A433F0">
        <w:rPr>
          <w:rFonts w:ascii="Sylfaen" w:hAnsi="Sylfaen"/>
          <w:lang w:val="ka-GE"/>
        </w:rPr>
        <w:t>პაციენტის</w:t>
      </w:r>
      <w:r>
        <w:rPr>
          <w:rFonts w:ascii="Sylfaen" w:hAnsi="Sylfaen"/>
          <w:lang w:val="ka-GE"/>
        </w:rPr>
        <w:t xml:space="preserve"> ჯანმრთელობაზე </w:t>
      </w:r>
      <w:r w:rsidR="00A433F0">
        <w:rPr>
          <w:rFonts w:ascii="Sylfaen" w:hAnsi="Sylfaen"/>
          <w:lang w:val="ka-GE"/>
        </w:rPr>
        <w:t>ზრუნვისა</w:t>
      </w:r>
      <w:r>
        <w:rPr>
          <w:rFonts w:ascii="Sylfaen" w:hAnsi="Sylfaen"/>
          <w:lang w:val="ka-GE"/>
        </w:rPr>
        <w:t xml:space="preserve"> და მათთვის ხარისხიანი, მიწვდომადი სერვისის შექმნისკენ</w:t>
      </w:r>
      <w:r w:rsidR="00A433F0">
        <w:rPr>
          <w:rFonts w:ascii="Sylfaen" w:hAnsi="Sylfaen"/>
          <w:lang w:val="ka-GE"/>
        </w:rPr>
        <w:t xml:space="preserve"> არის მიმართული</w:t>
      </w:r>
      <w:r>
        <w:rPr>
          <w:rFonts w:ascii="Sylfaen" w:hAnsi="Sylfaen"/>
          <w:lang w:val="ka-GE"/>
        </w:rPr>
        <w:t xml:space="preserve">. ამ მიზნის განხორციელებაში სახელმწიფოსთან ერთად უდიდეს როლს ასრულებს სამედიცინო </w:t>
      </w:r>
      <w:r w:rsidR="00A433F0">
        <w:rPr>
          <w:rFonts w:ascii="Sylfaen" w:hAnsi="Sylfaen"/>
          <w:lang w:val="ka-GE"/>
        </w:rPr>
        <w:t xml:space="preserve">საზოგადოება. </w:t>
      </w:r>
      <w:r>
        <w:rPr>
          <w:rFonts w:ascii="Sylfaen" w:hAnsi="Sylfaen"/>
          <w:lang w:val="ka-GE"/>
        </w:rPr>
        <w:t>სწორედ ამიტომ</w:t>
      </w:r>
      <w:r w:rsidR="00BF35F3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2E1DF5">
        <w:rPr>
          <w:rFonts w:ascii="Sylfaen" w:hAnsi="Sylfaen"/>
          <w:lang w:val="ka-GE"/>
        </w:rPr>
        <w:t xml:space="preserve">უმნიშვნელოვანესია </w:t>
      </w:r>
      <w:r w:rsidR="00BF35F3">
        <w:rPr>
          <w:rFonts w:ascii="Sylfaen" w:hAnsi="Sylfaen"/>
          <w:lang w:val="ka-GE"/>
        </w:rPr>
        <w:t xml:space="preserve"> თანამშრომლობა და კონსტრუქციული ურთიერთობა სახელმწიფოსა და სამედიცინო სექტორს შორის. რა თქმა უნდა,</w:t>
      </w:r>
      <w:r w:rsidR="00A433F0">
        <w:rPr>
          <w:rFonts w:ascii="Sylfaen" w:hAnsi="Sylfaen"/>
          <w:lang w:val="ka-GE"/>
        </w:rPr>
        <w:t xml:space="preserve"> რიგ საკითხებზე შესაძლებელია იყოს აზრთა</w:t>
      </w:r>
      <w:r w:rsidR="00BF35F3">
        <w:rPr>
          <w:rFonts w:ascii="Sylfaen" w:hAnsi="Sylfaen"/>
          <w:lang w:val="ka-GE"/>
        </w:rPr>
        <w:t xml:space="preserve"> სხვადასხვაობა, სიახლეების მიმართ სკეპტიკური დამოკიდებულება, თუმცა გამოცდილებამ ნათლად დაგვანახა, რომ ნებისმიერ სიტუაციაში  </w:t>
      </w:r>
      <w:r w:rsidR="00A433F0">
        <w:rPr>
          <w:rFonts w:ascii="Sylfaen" w:hAnsi="Sylfaen"/>
          <w:lang w:val="ka-GE"/>
        </w:rPr>
        <w:t>კონსესუსამდე მისვლა შესაძლებელია</w:t>
      </w:r>
      <w:r w:rsidR="00BF35F3">
        <w:rPr>
          <w:rFonts w:ascii="Sylfaen" w:hAnsi="Sylfaen"/>
          <w:lang w:val="ka-GE"/>
        </w:rPr>
        <w:t xml:space="preserve">. </w:t>
      </w:r>
    </w:p>
    <w:p w:rsidR="00122FA3" w:rsidRDefault="00BF35F3" w:rsidP="00130ED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ჯანდაცვის</w:t>
      </w:r>
      <w:r w:rsidR="00122FA3">
        <w:rPr>
          <w:rFonts w:ascii="Sylfaen" w:hAnsi="Sylfaen"/>
          <w:lang w:val="ka-GE"/>
        </w:rPr>
        <w:t xml:space="preserve"> სფეროში გატარებული</w:t>
      </w:r>
      <w:r>
        <w:rPr>
          <w:rFonts w:ascii="Sylfaen" w:hAnsi="Sylfaen"/>
          <w:lang w:val="ka-GE"/>
        </w:rPr>
        <w:t xml:space="preserve"> </w:t>
      </w:r>
      <w:r w:rsidR="00122FA3">
        <w:rPr>
          <w:rFonts w:ascii="Sylfaen" w:hAnsi="Sylfaen"/>
          <w:lang w:val="ka-GE"/>
        </w:rPr>
        <w:t>რეფორმები რამდენჯერმე</w:t>
      </w:r>
      <w:r>
        <w:rPr>
          <w:rFonts w:ascii="Sylfaen" w:hAnsi="Sylfaen"/>
          <w:lang w:val="ka-GE"/>
        </w:rPr>
        <w:t xml:space="preserve"> გახდა სადაზღვევო კომპანიების მხრიდან პროტესტის, უკმაყოფილების მიზეზი. ამის საპასუხოდ </w:t>
      </w:r>
      <w:r w:rsidR="00122FA3">
        <w:rPr>
          <w:rFonts w:ascii="Sylfaen" w:hAnsi="Sylfaen"/>
          <w:lang w:val="ka-GE"/>
        </w:rPr>
        <w:t>ჩვენ</w:t>
      </w:r>
      <w:r>
        <w:rPr>
          <w:rFonts w:ascii="Sylfaen" w:hAnsi="Sylfaen"/>
          <w:lang w:val="ka-GE"/>
        </w:rPr>
        <w:t xml:space="preserve"> </w:t>
      </w:r>
      <w:r w:rsidR="002018BD">
        <w:rPr>
          <w:rFonts w:ascii="Sylfaen" w:hAnsi="Sylfaen"/>
          <w:lang w:val="ka-GE"/>
        </w:rPr>
        <w:t xml:space="preserve">ყოველთვის </w:t>
      </w:r>
      <w:r w:rsidR="00122FA3">
        <w:rPr>
          <w:rFonts w:ascii="Sylfaen" w:hAnsi="Sylfaen"/>
          <w:lang w:val="ka-GE"/>
        </w:rPr>
        <w:t>ვცდილობ</w:t>
      </w:r>
      <w:r w:rsidR="00050B1E">
        <w:rPr>
          <w:rFonts w:ascii="Sylfaen" w:hAnsi="Sylfaen"/>
          <w:lang w:val="ka-GE"/>
        </w:rPr>
        <w:t>დ</w:t>
      </w:r>
      <w:r w:rsidR="00122FA3">
        <w:rPr>
          <w:rFonts w:ascii="Sylfaen" w:hAnsi="Sylfaen"/>
          <w:lang w:val="ka-GE"/>
        </w:rPr>
        <w:t xml:space="preserve">ით </w:t>
      </w:r>
      <w:r w:rsidR="002018BD">
        <w:rPr>
          <w:rFonts w:ascii="Sylfaen" w:hAnsi="Sylfaen"/>
          <w:lang w:val="ka-GE"/>
        </w:rPr>
        <w:t>მისაღები გარემო</w:t>
      </w:r>
      <w:r w:rsidR="00D76E56">
        <w:rPr>
          <w:rFonts w:ascii="Sylfaen" w:hAnsi="Sylfaen"/>
          <w:lang w:val="ka-GE"/>
        </w:rPr>
        <w:t xml:space="preserve"> შეგვექმნა </w:t>
      </w:r>
      <w:r w:rsidR="00122FA3">
        <w:rPr>
          <w:rFonts w:ascii="Sylfaen" w:hAnsi="Sylfaen"/>
          <w:lang w:val="ka-GE"/>
        </w:rPr>
        <w:t xml:space="preserve">როგორც სადაზღვევო სექტორისთვის, ისე ჩვენი ბენეფიციარებისთვის. არაერთი კონსულტაციისა და შეხვედრის შემდეგ, დღეს ჩვენ მივიღეთ შედეგი, როდესაც სადაზღვევო სექტორი და სახელმწიფო, კონსტრუქციულად და ორგანიზებულად მუშაობს ჩვენი მოქალაქეების კეთილდღეობისთვის. </w:t>
      </w:r>
    </w:p>
    <w:p w:rsidR="007A4C71" w:rsidRDefault="00D76E56" w:rsidP="00130ED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ჯანდაცვის სამინისტრო ღიაა ურთიერთობისთვის და მზად ვართ სამედიცინო საზოგადოებასთან ერთად  კიდევ არაერთი წარმატებული რეფორმა</w:t>
      </w:r>
      <w:r w:rsidR="00122FA3">
        <w:rPr>
          <w:rFonts w:ascii="Sylfaen" w:hAnsi="Sylfaen"/>
          <w:lang w:val="ka-GE"/>
        </w:rPr>
        <w:t xml:space="preserve"> განვახორციელოთ</w:t>
      </w:r>
      <w:r>
        <w:rPr>
          <w:rFonts w:ascii="Sylfaen" w:hAnsi="Sylfaen"/>
          <w:lang w:val="ka-GE"/>
        </w:rPr>
        <w:t xml:space="preserve">. </w:t>
      </w:r>
    </w:p>
    <w:p w:rsidR="007E6216" w:rsidRPr="00050B1E" w:rsidRDefault="00D76E56" w:rsidP="00130ED7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050B1E">
        <w:rPr>
          <w:rFonts w:ascii="Sylfaen" w:hAnsi="Sylfaen" w:cs="Sylfaen"/>
          <w:b/>
          <w:lang w:val="ka-GE"/>
        </w:rPr>
        <w:t>მიმოხილვა</w:t>
      </w:r>
    </w:p>
    <w:p w:rsidR="00050B1E" w:rsidRDefault="00CD558A" w:rsidP="00130ED7">
      <w:pPr>
        <w:jc w:val="both"/>
        <w:rPr>
          <w:rFonts w:ascii="Sylfaen" w:hAnsi="Sylfaen"/>
          <w:lang w:val="ka-GE"/>
        </w:rPr>
      </w:pPr>
      <w:r w:rsidRPr="007E6216">
        <w:rPr>
          <w:rFonts w:ascii="Sylfaen" w:hAnsi="Sylfaen"/>
          <w:lang w:val="ka-GE"/>
        </w:rPr>
        <w:t xml:space="preserve">2013 წლიდან ჯანდაცვის </w:t>
      </w:r>
      <w:r w:rsidR="00050B1E">
        <w:rPr>
          <w:rFonts w:ascii="Sylfaen" w:hAnsi="Sylfaen"/>
          <w:lang w:val="ka-GE"/>
        </w:rPr>
        <w:t>სფეროში არაერთი რეფორმა</w:t>
      </w:r>
      <w:r w:rsidRPr="007E6216">
        <w:rPr>
          <w:rFonts w:ascii="Sylfaen" w:hAnsi="Sylfaen"/>
          <w:lang w:val="ka-GE"/>
        </w:rPr>
        <w:t xml:space="preserve"> </w:t>
      </w:r>
      <w:r w:rsidR="00050B1E">
        <w:rPr>
          <w:rFonts w:ascii="Sylfaen" w:hAnsi="Sylfaen"/>
          <w:lang w:val="ka-GE"/>
        </w:rPr>
        <w:t xml:space="preserve">განხორციელდა. გატარებული რეფორმები, </w:t>
      </w:r>
      <w:r w:rsidR="00D15A14">
        <w:rPr>
          <w:rFonts w:ascii="Sylfaen" w:hAnsi="Sylfaen"/>
          <w:lang w:val="ka-GE"/>
        </w:rPr>
        <w:t>დადებითად</w:t>
      </w:r>
      <w:r w:rsidRPr="007E6216">
        <w:rPr>
          <w:rFonts w:ascii="Sylfaen" w:hAnsi="Sylfaen"/>
          <w:lang w:val="ka-GE"/>
        </w:rPr>
        <w:t xml:space="preserve"> </w:t>
      </w:r>
      <w:r w:rsidR="00050B1E">
        <w:rPr>
          <w:rFonts w:ascii="Sylfaen" w:hAnsi="Sylfaen"/>
          <w:lang w:val="ka-GE"/>
        </w:rPr>
        <w:t>აისახა</w:t>
      </w:r>
      <w:r w:rsidRPr="007E6216">
        <w:rPr>
          <w:rFonts w:ascii="Sylfaen" w:hAnsi="Sylfaen"/>
          <w:lang w:val="ka-GE"/>
        </w:rPr>
        <w:t xml:space="preserve"> </w:t>
      </w:r>
      <w:r w:rsidR="00050B1E">
        <w:rPr>
          <w:rFonts w:ascii="Sylfaen" w:hAnsi="Sylfaen"/>
          <w:lang w:val="ka-GE"/>
        </w:rPr>
        <w:t>როგორც</w:t>
      </w:r>
      <w:r w:rsidRPr="007E6216">
        <w:rPr>
          <w:rFonts w:ascii="Sylfaen" w:hAnsi="Sylfaen"/>
          <w:lang w:val="ka-GE"/>
        </w:rPr>
        <w:t xml:space="preserve"> მოსახლეობის ჯანმრთელობის სტატუსზე, </w:t>
      </w:r>
      <w:r w:rsidR="00050B1E">
        <w:rPr>
          <w:rFonts w:ascii="Sylfaen" w:hAnsi="Sylfaen"/>
          <w:lang w:val="ka-GE"/>
        </w:rPr>
        <w:t xml:space="preserve">ისე </w:t>
      </w:r>
      <w:r w:rsidRPr="007E6216">
        <w:rPr>
          <w:rFonts w:ascii="Sylfaen" w:hAnsi="Sylfaen"/>
          <w:lang w:val="ka-GE"/>
        </w:rPr>
        <w:t xml:space="preserve">სამედიცინო დაწესებულებების </w:t>
      </w:r>
      <w:r w:rsidR="00050B1E">
        <w:rPr>
          <w:rFonts w:ascii="Sylfaen" w:hAnsi="Sylfaen"/>
          <w:lang w:val="ka-GE"/>
        </w:rPr>
        <w:t>მუშაობასა</w:t>
      </w:r>
      <w:r w:rsidRPr="007E6216">
        <w:rPr>
          <w:rFonts w:ascii="Sylfaen" w:hAnsi="Sylfaen"/>
          <w:lang w:val="ka-GE"/>
        </w:rPr>
        <w:t xml:space="preserve"> და ბიუჯეტზე.  </w:t>
      </w:r>
      <w:r w:rsidR="00050B1E">
        <w:rPr>
          <w:rFonts w:ascii="Sylfaen" w:hAnsi="Sylfaen"/>
          <w:lang w:val="ka-GE"/>
        </w:rPr>
        <w:t xml:space="preserve">რასაც არაერთი საერთაშორისო ორგანიზაციის მიერ ჩატარებული კვლევა ადასტურებს. </w:t>
      </w:r>
    </w:p>
    <w:p w:rsidR="00D76E56" w:rsidRPr="007E6216" w:rsidRDefault="00CD558A" w:rsidP="00130ED7">
      <w:pPr>
        <w:jc w:val="both"/>
        <w:rPr>
          <w:rFonts w:ascii="Sylfaen" w:hAnsi="Sylfaen"/>
          <w:lang w:val="ka-GE"/>
        </w:rPr>
      </w:pPr>
      <w:r w:rsidRPr="007E6216">
        <w:rPr>
          <w:rFonts w:ascii="Sylfaen" w:hAnsi="Sylfaen"/>
          <w:lang w:val="ka-GE"/>
        </w:rPr>
        <w:t>2013 წლის დასაწყისში საქართველოს მოსახლეობის მხოლოდ ნახევარი სარგებლობდა სამედიცინო დაზღვევის მომსახურებით</w:t>
      </w:r>
      <w:r w:rsidR="00E82ECB">
        <w:rPr>
          <w:rFonts w:ascii="Sylfaen" w:hAnsi="Sylfaen"/>
          <w:lang w:val="ka-GE"/>
        </w:rPr>
        <w:t xml:space="preserve">. </w:t>
      </w:r>
      <w:r w:rsidRPr="007E6216">
        <w:rPr>
          <w:rFonts w:ascii="Sylfaen" w:hAnsi="Sylfaen"/>
          <w:lang w:val="ka-GE"/>
        </w:rPr>
        <w:t xml:space="preserve"> ქვეყნის მოსახლეობის ნახევარზე მეტი, სამედიცინო დაზღვევის გარეშე იყო დარჩენილი და საკუთარი ხარჯებით </w:t>
      </w:r>
      <w:r w:rsidR="00E82ECB">
        <w:rPr>
          <w:rFonts w:ascii="Sylfaen" w:hAnsi="Sylfaen"/>
          <w:lang w:val="ka-GE"/>
        </w:rPr>
        <w:t>უწევდათ</w:t>
      </w:r>
      <w:r w:rsidRPr="007E6216">
        <w:rPr>
          <w:rFonts w:ascii="Sylfaen" w:hAnsi="Sylfaen"/>
          <w:lang w:val="ka-GE"/>
        </w:rPr>
        <w:t xml:space="preserve">  მკურნალობის სრული </w:t>
      </w:r>
      <w:r w:rsidR="00E82ECB">
        <w:rPr>
          <w:rFonts w:ascii="Sylfaen" w:hAnsi="Sylfaen"/>
          <w:lang w:val="ka-GE"/>
        </w:rPr>
        <w:t xml:space="preserve">ღირებულების </w:t>
      </w:r>
      <w:r w:rsidR="00D15A14">
        <w:rPr>
          <w:rFonts w:ascii="Sylfaen" w:hAnsi="Sylfaen"/>
          <w:lang w:val="ka-GE"/>
        </w:rPr>
        <w:t>დაფარვ</w:t>
      </w:r>
      <w:r w:rsidR="00E82ECB">
        <w:rPr>
          <w:rFonts w:ascii="Sylfaen" w:hAnsi="Sylfaen"/>
          <w:lang w:val="ka-GE"/>
        </w:rPr>
        <w:t>ა,</w:t>
      </w:r>
      <w:r w:rsidRPr="007E6216">
        <w:rPr>
          <w:rFonts w:ascii="Sylfaen" w:hAnsi="Sylfaen"/>
          <w:lang w:val="ka-GE"/>
        </w:rPr>
        <w:t xml:space="preserve"> რაც  მაღალ დანახარჯებთან</w:t>
      </w:r>
      <w:r w:rsidR="00D15A14">
        <w:rPr>
          <w:rFonts w:ascii="Sylfaen" w:hAnsi="Sylfaen"/>
          <w:lang w:val="ka-GE"/>
        </w:rPr>
        <w:t xml:space="preserve"> </w:t>
      </w:r>
      <w:r w:rsidR="00E82ECB">
        <w:rPr>
          <w:rFonts w:ascii="Sylfaen" w:hAnsi="Sylfaen"/>
          <w:lang w:val="ka-GE"/>
        </w:rPr>
        <w:t xml:space="preserve">იყო </w:t>
      </w:r>
      <w:r w:rsidR="00E82ECB" w:rsidRPr="007E6216">
        <w:rPr>
          <w:rFonts w:ascii="Sylfaen" w:hAnsi="Sylfaen"/>
          <w:lang w:val="ka-GE"/>
        </w:rPr>
        <w:t>და</w:t>
      </w:r>
      <w:r w:rsidR="00E82ECB">
        <w:rPr>
          <w:rFonts w:ascii="Sylfaen" w:hAnsi="Sylfaen"/>
          <w:lang w:val="ka-GE"/>
        </w:rPr>
        <w:t>კავშირებული</w:t>
      </w:r>
      <w:r w:rsidRPr="007E6216">
        <w:rPr>
          <w:rFonts w:ascii="Sylfaen" w:hAnsi="Sylfaen"/>
          <w:lang w:val="ka-GE"/>
        </w:rPr>
        <w:t>.  ხშირ შემთხვევაში, ეს ადამიანები თავად ამბობდნენ უარს გეგმური სამედიცინო სერვისების მიღებაზე და ექიმს მხოლოდ გადაუდებელი შემთხვევების დროს  ან უკიდურესად დამძიმებული მდგომარეობის გამო მიმართავდნენ. ჯანდაცვის სფეროს დანახარჯების 70%-ს  ჯიბიდან გადახდილი თანხა</w:t>
      </w:r>
      <w:r w:rsidR="00E63595">
        <w:rPr>
          <w:rFonts w:ascii="Sylfaen" w:hAnsi="Sylfaen"/>
          <w:lang w:val="ka-GE"/>
        </w:rPr>
        <w:t xml:space="preserve"> </w:t>
      </w:r>
      <w:r w:rsidR="00E63595" w:rsidRPr="007E6216">
        <w:rPr>
          <w:rFonts w:ascii="Sylfaen" w:hAnsi="Sylfaen"/>
          <w:lang w:val="ka-GE"/>
        </w:rPr>
        <w:t>შეადგენდა</w:t>
      </w:r>
      <w:r w:rsidRPr="007E6216">
        <w:rPr>
          <w:rFonts w:ascii="Sylfaen" w:hAnsi="Sylfaen"/>
          <w:lang w:val="ka-GE"/>
        </w:rPr>
        <w:t xml:space="preserve">. მოსახლეობის 50%-ის სამედიცინო მომსახურებისთვის გამოყოფილ თანხებს </w:t>
      </w:r>
      <w:r w:rsidR="00E63595">
        <w:rPr>
          <w:rFonts w:ascii="Sylfaen" w:hAnsi="Sylfaen"/>
          <w:lang w:val="ka-GE"/>
        </w:rPr>
        <w:t xml:space="preserve">კი </w:t>
      </w:r>
      <w:r w:rsidRPr="007E6216">
        <w:rPr>
          <w:rFonts w:ascii="Sylfaen" w:hAnsi="Sylfaen"/>
          <w:lang w:val="ka-GE"/>
        </w:rPr>
        <w:t xml:space="preserve">განკარგავდნენ კერძო სადაზღვევო კომპანიები. წარმოიშვა ორი სახის პრობლემა: პირველი – </w:t>
      </w:r>
      <w:r w:rsidR="00B7364E">
        <w:rPr>
          <w:rFonts w:ascii="Sylfaen" w:hAnsi="Sylfaen"/>
          <w:lang w:val="ka-GE"/>
        </w:rPr>
        <w:t>გრძელვადიანი</w:t>
      </w:r>
      <w:r w:rsidRPr="007E6216">
        <w:rPr>
          <w:rFonts w:ascii="Sylfaen" w:hAnsi="Sylfaen"/>
          <w:lang w:val="ka-GE"/>
        </w:rPr>
        <w:t xml:space="preserve"> და დიდი </w:t>
      </w:r>
      <w:r w:rsidR="00E63595">
        <w:rPr>
          <w:rFonts w:ascii="Sylfaen" w:hAnsi="Sylfaen"/>
          <w:lang w:val="ka-GE"/>
        </w:rPr>
        <w:t>მოცულობის</w:t>
      </w:r>
      <w:r w:rsidRPr="007E6216">
        <w:rPr>
          <w:rFonts w:ascii="Sylfaen" w:hAnsi="Sylfaen"/>
          <w:lang w:val="ka-GE"/>
        </w:rPr>
        <w:t xml:space="preserve"> დავალიანებები სამედიცინო დაწესებულებების მიმართ: სახელმწიფოს მიერ გამოყოფილი თანხა სამედიცინო სერვისების მომწოდებლებამდე</w:t>
      </w:r>
      <w:r w:rsidR="00B7364E">
        <w:rPr>
          <w:rFonts w:ascii="Sylfaen" w:hAnsi="Sylfaen"/>
          <w:lang w:val="ka-GE"/>
        </w:rPr>
        <w:t xml:space="preserve"> </w:t>
      </w:r>
      <w:r w:rsidR="00B7364E" w:rsidRPr="007E6216">
        <w:rPr>
          <w:rFonts w:ascii="Sylfaen" w:hAnsi="Sylfaen"/>
          <w:lang w:val="ka-GE"/>
        </w:rPr>
        <w:t>არ მიდიოდა</w:t>
      </w:r>
      <w:r w:rsidRPr="007E6216">
        <w:rPr>
          <w:rFonts w:ascii="Sylfaen" w:hAnsi="Sylfaen"/>
          <w:lang w:val="ka-GE"/>
        </w:rPr>
        <w:t xml:space="preserve">, რაც ქმნიდა, პერსონალის უკმაყოფილებას, გაფიცვებს, სამკურნალო </w:t>
      </w:r>
      <w:r w:rsidR="00130ED7">
        <w:rPr>
          <w:rFonts w:ascii="Sylfaen" w:hAnsi="Sylfaen"/>
          <w:lang w:val="ka-GE"/>
        </w:rPr>
        <w:t xml:space="preserve">პროცესის </w:t>
      </w:r>
      <w:r w:rsidRPr="007E6216">
        <w:rPr>
          <w:rFonts w:ascii="Sylfaen" w:hAnsi="Sylfaen"/>
          <w:lang w:val="ka-GE"/>
        </w:rPr>
        <w:t xml:space="preserve">შეჩერებას. </w:t>
      </w:r>
      <w:r w:rsidR="00130ED7">
        <w:rPr>
          <w:rFonts w:ascii="Sylfaen" w:hAnsi="Sylfaen"/>
          <w:lang w:val="ka-GE"/>
        </w:rPr>
        <w:t xml:space="preserve"> ასევე, </w:t>
      </w:r>
      <w:r w:rsidRPr="007E6216">
        <w:rPr>
          <w:rFonts w:ascii="Sylfaen" w:hAnsi="Sylfaen"/>
          <w:lang w:val="ka-GE"/>
        </w:rPr>
        <w:t xml:space="preserve">პრობლემას წარმოადგენდა ის, რომ ამ დაზღვევით მოსარგებლე </w:t>
      </w:r>
      <w:r w:rsidR="00130ED7">
        <w:rPr>
          <w:rFonts w:ascii="Sylfaen" w:hAnsi="Sylfaen"/>
          <w:lang w:val="ka-GE"/>
        </w:rPr>
        <w:t xml:space="preserve">ბენეფიციარებს არ ქონდათ </w:t>
      </w:r>
      <w:r w:rsidRPr="007E6216">
        <w:rPr>
          <w:rFonts w:ascii="Sylfaen" w:hAnsi="Sylfaen"/>
          <w:lang w:val="ka-GE"/>
        </w:rPr>
        <w:t xml:space="preserve"> სამედიცინო დაწესებულების თავისუფალი არჩევანის </w:t>
      </w:r>
      <w:r w:rsidR="00130ED7">
        <w:rPr>
          <w:rFonts w:ascii="Sylfaen" w:hAnsi="Sylfaen"/>
          <w:lang w:val="ka-GE"/>
        </w:rPr>
        <w:lastRenderedPageBreak/>
        <w:t>შესაძლებლობა</w:t>
      </w:r>
      <w:r w:rsidRPr="007E6216">
        <w:rPr>
          <w:rFonts w:ascii="Sylfaen" w:hAnsi="Sylfaen"/>
          <w:lang w:val="ka-GE"/>
        </w:rPr>
        <w:t>, რაც პაციენტის ერთ-ერთი უმთავრესი უფლებაა</w:t>
      </w:r>
      <w:r w:rsidR="00130ED7">
        <w:rPr>
          <w:rFonts w:ascii="Sylfaen" w:hAnsi="Sylfaen"/>
          <w:lang w:val="ka-GE"/>
        </w:rPr>
        <w:t xml:space="preserve">. ეს ყველაფერი უარყოფითად აისახებოდა მომსახურების ხარისხზე და კონკურენციის საფრთხეს ქმნიდა. </w:t>
      </w:r>
      <w:r w:rsidRPr="007E6216">
        <w:rPr>
          <w:rFonts w:ascii="Sylfaen" w:hAnsi="Sylfaen"/>
          <w:lang w:val="ka-GE"/>
        </w:rPr>
        <w:t xml:space="preserve"> </w:t>
      </w:r>
    </w:p>
    <w:p w:rsidR="00EC711B" w:rsidRDefault="00130ED7" w:rsidP="00130ED7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ამ</w:t>
      </w:r>
      <w:r w:rsidR="00F37DF9" w:rsidRPr="007E6216">
        <w:rPr>
          <w:rFonts w:ascii="Sylfaen" w:hAnsi="Sylfaen"/>
          <w:lang w:val="ka-GE"/>
        </w:rPr>
        <w:t xml:space="preserve"> მდგომარეობიდან </w:t>
      </w:r>
      <w:r>
        <w:rPr>
          <w:rFonts w:ascii="Sylfaen" w:hAnsi="Sylfaen"/>
          <w:lang w:val="ka-GE"/>
        </w:rPr>
        <w:t>გამოსასვლელად, სახელმწიფომ პირველი ნაბიჯი</w:t>
      </w:r>
      <w:r w:rsidR="00F37DF9" w:rsidRPr="007E6216">
        <w:rPr>
          <w:rFonts w:ascii="Sylfaen" w:hAnsi="Sylfaen"/>
          <w:lang w:val="ka-GE"/>
        </w:rPr>
        <w:t xml:space="preserve"> 2013 </w:t>
      </w:r>
      <w:r>
        <w:rPr>
          <w:rFonts w:ascii="Sylfaen" w:hAnsi="Sylfaen"/>
          <w:lang w:val="ka-GE"/>
        </w:rPr>
        <w:t xml:space="preserve">წელს, </w:t>
      </w:r>
      <w:r w:rsidR="00F37DF9" w:rsidRPr="007E6216">
        <w:rPr>
          <w:rFonts w:ascii="Sylfaen" w:hAnsi="Sylfaen"/>
          <w:lang w:val="ka-GE"/>
        </w:rPr>
        <w:t xml:space="preserve"> საყოველთაო ჯანდაცვის </w:t>
      </w:r>
      <w:r>
        <w:rPr>
          <w:rFonts w:ascii="Sylfaen" w:hAnsi="Sylfaen"/>
          <w:lang w:val="ka-GE"/>
        </w:rPr>
        <w:t>პროგრამის ამოქმედებით გადადგა</w:t>
      </w:r>
      <w:r w:rsidR="00F37DF9" w:rsidRPr="007E6216">
        <w:rPr>
          <w:rFonts w:ascii="Sylfaen" w:hAnsi="Sylfaen"/>
          <w:lang w:val="ka-GE"/>
        </w:rPr>
        <w:t xml:space="preserve">. ყველა მოქალაქისათვის გარანტირებული გახდა საბაზისო სამედიცინო </w:t>
      </w:r>
      <w:r>
        <w:rPr>
          <w:rFonts w:ascii="Sylfaen" w:hAnsi="Sylfaen"/>
          <w:lang w:val="ka-GE"/>
        </w:rPr>
        <w:t>მომსახურება.</w:t>
      </w:r>
      <w:r w:rsidR="00F37DF9" w:rsidRPr="007E6216">
        <w:rPr>
          <w:rFonts w:ascii="Sylfaen" w:hAnsi="Sylfaen"/>
          <w:lang w:val="ka-GE"/>
        </w:rPr>
        <w:t xml:space="preserve"> 2013 წლის შემდეგ პროგრამაში მუდმივად ფართოვდებოდა</w:t>
      </w:r>
      <w:r>
        <w:rPr>
          <w:rFonts w:ascii="Sylfaen" w:hAnsi="Sylfaen"/>
          <w:lang w:val="ka-GE"/>
        </w:rPr>
        <w:t>, იზრდებოდა</w:t>
      </w:r>
      <w:r w:rsidR="00F37DF9" w:rsidRPr="007E6216">
        <w:rPr>
          <w:rFonts w:ascii="Sylfaen" w:hAnsi="Sylfaen"/>
          <w:lang w:val="ka-GE"/>
        </w:rPr>
        <w:t xml:space="preserve"> მომსახურებების ჩამონათვალი და უკვე  2017 წელს მედიკამენტების დაფინანსების კომპონენტიც </w:t>
      </w:r>
      <w:r>
        <w:rPr>
          <w:rFonts w:ascii="Sylfaen" w:hAnsi="Sylfaen"/>
          <w:lang w:val="ka-GE"/>
        </w:rPr>
        <w:t>დ</w:t>
      </w:r>
      <w:r w:rsidR="00F37DF9" w:rsidRPr="007E6216">
        <w:rPr>
          <w:rFonts w:ascii="Sylfaen" w:hAnsi="Sylfaen"/>
          <w:lang w:val="ka-GE"/>
        </w:rPr>
        <w:t>აემატა</w:t>
      </w:r>
      <w:r>
        <w:rPr>
          <w:rFonts w:ascii="Sylfaen" w:hAnsi="Sylfaen"/>
          <w:lang w:val="ka-GE"/>
        </w:rPr>
        <w:t>.</w:t>
      </w:r>
      <w:r w:rsidR="00F67A54">
        <w:rPr>
          <w:rFonts w:ascii="Sylfaen" w:hAnsi="Sylfaen"/>
          <w:lang w:val="ka-GE"/>
        </w:rPr>
        <w:t xml:space="preserve"> </w:t>
      </w:r>
      <w:r w:rsidR="00F37DF9" w:rsidRPr="007E6216">
        <w:rPr>
          <w:rFonts w:ascii="Sylfaen" w:hAnsi="Sylfaen"/>
          <w:lang w:val="ka-GE"/>
        </w:rPr>
        <w:t xml:space="preserve">საყოველთაო ჯანდაცვის პროგრამამ </w:t>
      </w:r>
      <w:r w:rsidR="007E6216" w:rsidRPr="007E6216">
        <w:rPr>
          <w:rFonts w:ascii="Sylfaen" w:hAnsi="Sylfaen"/>
          <w:lang w:val="ka-GE"/>
        </w:rPr>
        <w:t xml:space="preserve">გარდამტეხი როლი შეასრულა როგორც მოსახლეობის ჯანმრთელობაზე ზრუნვის, ასევე სამედიცინო დაწესებულებების განვითარების მიმართულებით. </w:t>
      </w:r>
    </w:p>
    <w:p w:rsidR="00D15A14" w:rsidRDefault="00D15A14" w:rsidP="00130ED7">
      <w:pPr>
        <w:jc w:val="both"/>
        <w:rPr>
          <w:rFonts w:ascii="Sylfaen" w:hAnsi="Sylfaen"/>
          <w:noProof/>
          <w:lang w:val="ka-GE"/>
        </w:rPr>
      </w:pPr>
    </w:p>
    <w:p w:rsidR="00130ED7" w:rsidRPr="00130ED7" w:rsidRDefault="00D15A14" w:rsidP="00130ED7">
      <w:pPr>
        <w:jc w:val="both"/>
        <w:rPr>
          <w:rFonts w:ascii="Sylfaen" w:hAnsi="Sylfaen"/>
          <w:lang w:val="ka-GE"/>
        </w:rPr>
      </w:pPr>
      <w:r>
        <w:rPr>
          <w:noProof/>
        </w:rPr>
        <w:drawing>
          <wp:inline distT="0" distB="0" distL="0" distR="0" wp14:anchorId="27B67BED" wp14:editId="1EBD03A6">
            <wp:extent cx="6048375" cy="4543425"/>
            <wp:effectExtent l="0" t="0" r="9525" b="9525"/>
            <wp:docPr id="7" name="Chart 7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2B7A818A-E179-493E-87EE-066149054E8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C0B87" w:rsidRDefault="003C0B87" w:rsidP="00130ED7">
      <w:pPr>
        <w:jc w:val="both"/>
        <w:rPr>
          <w:rFonts w:ascii="Sylfaen" w:hAnsi="Sylfaen"/>
          <w:lang w:val="ka-GE"/>
        </w:rPr>
      </w:pPr>
    </w:p>
    <w:p w:rsidR="008E33AE" w:rsidRDefault="008E33AE" w:rsidP="00130ED7">
      <w:pPr>
        <w:jc w:val="both"/>
        <w:rPr>
          <w:rFonts w:ascii="Sylfaen" w:hAnsi="Sylfaen"/>
          <w:lang w:val="ka-GE"/>
        </w:rPr>
      </w:pPr>
    </w:p>
    <w:p w:rsidR="008E33AE" w:rsidRDefault="008E33AE" w:rsidP="00130ED7">
      <w:pPr>
        <w:jc w:val="both"/>
        <w:rPr>
          <w:rFonts w:ascii="Sylfaen" w:hAnsi="Sylfaen"/>
          <w:lang w:val="ka-GE"/>
        </w:rPr>
      </w:pPr>
      <w:r>
        <w:rPr>
          <w:noProof/>
        </w:rPr>
        <w:lastRenderedPageBreak/>
        <w:drawing>
          <wp:inline distT="0" distB="0" distL="0" distR="0" wp14:anchorId="32F74B3A" wp14:editId="540DCE41">
            <wp:extent cx="5257800" cy="4476750"/>
            <wp:effectExtent l="0" t="0" r="19050" b="19050"/>
            <wp:docPr id="8" name="Chart 8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4CE3AC82-F916-49B0-B282-1542923D781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66E9B" w:rsidRPr="00F67A54" w:rsidRDefault="00483808" w:rsidP="00130ED7">
      <w:pPr>
        <w:jc w:val="both"/>
        <w:rPr>
          <w:rFonts w:ascii="Sylfaen" w:hAnsi="Sylfaen"/>
        </w:rPr>
      </w:pPr>
      <w:r w:rsidRPr="00F66E9B">
        <w:rPr>
          <w:rFonts w:ascii="Sylfaen" w:hAnsi="Sylfaen"/>
          <w:noProof/>
        </w:rPr>
        <w:drawing>
          <wp:inline distT="0" distB="0" distL="0" distR="0" wp14:anchorId="37F56412" wp14:editId="5C0CC8C6">
            <wp:extent cx="5671243" cy="3838575"/>
            <wp:effectExtent l="0" t="0" r="571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74436" cy="3840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7C5" w:rsidRDefault="00E9358F" w:rsidP="00130ED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2012 წლიდან  </w:t>
      </w:r>
      <w:r w:rsidR="00F66E9B">
        <w:rPr>
          <w:rFonts w:ascii="Sylfaen" w:hAnsi="Sylfaen"/>
          <w:lang w:val="ka-GE"/>
        </w:rPr>
        <w:t xml:space="preserve">ჯანდაცვის ბიუჯეტი </w:t>
      </w:r>
      <w:r>
        <w:rPr>
          <w:rFonts w:ascii="Sylfaen" w:hAnsi="Sylfaen"/>
          <w:lang w:val="ka-GE"/>
        </w:rPr>
        <w:t>რამდენჯერმე</w:t>
      </w:r>
      <w:r w:rsidR="00F66E9B">
        <w:rPr>
          <w:rFonts w:ascii="Sylfaen" w:hAnsi="Sylfaen"/>
          <w:lang w:val="ka-GE"/>
        </w:rPr>
        <w:t xml:space="preserve"> გაიზარდა. </w:t>
      </w:r>
      <w:r w:rsidR="00F66E9B" w:rsidRPr="00F67A54">
        <w:rPr>
          <w:rFonts w:ascii="Sylfaen" w:hAnsi="Sylfaen"/>
          <w:lang w:val="ka-GE"/>
        </w:rPr>
        <w:t xml:space="preserve">2012 </w:t>
      </w:r>
      <w:r w:rsidR="00F66E9B">
        <w:rPr>
          <w:rFonts w:ascii="Sylfaen" w:hAnsi="Sylfaen"/>
          <w:lang w:val="ka-GE"/>
        </w:rPr>
        <w:t xml:space="preserve"> წელს ბიუჯეტი </w:t>
      </w:r>
      <w:r w:rsidR="00F66E9B" w:rsidRPr="00F67A54">
        <w:rPr>
          <w:rFonts w:ascii="Sylfaen" w:hAnsi="Sylfaen"/>
        </w:rPr>
        <w:t xml:space="preserve">365 </w:t>
      </w:r>
      <w:r w:rsidR="00F66E9B" w:rsidRPr="00F67A54">
        <w:rPr>
          <w:rFonts w:ascii="Sylfaen" w:hAnsi="Sylfaen"/>
          <w:lang w:val="ka-GE"/>
        </w:rPr>
        <w:t xml:space="preserve">მლნ. </w:t>
      </w:r>
      <w:r w:rsidR="00F66E9B">
        <w:rPr>
          <w:rFonts w:ascii="Sylfaen" w:hAnsi="Sylfaen"/>
          <w:lang w:val="ka-GE"/>
        </w:rPr>
        <w:t xml:space="preserve">ლარს შეადგენდა.  </w:t>
      </w:r>
      <w:r w:rsidR="00F66E9B" w:rsidRPr="00F67A54">
        <w:rPr>
          <w:rFonts w:ascii="Sylfaen" w:hAnsi="Sylfaen"/>
        </w:rPr>
        <w:t xml:space="preserve"> </w:t>
      </w:r>
      <w:r w:rsidR="00F66E9B" w:rsidRPr="00F67A54">
        <w:rPr>
          <w:rFonts w:ascii="Sylfaen" w:hAnsi="Sylfaen"/>
          <w:lang w:val="ka-GE"/>
        </w:rPr>
        <w:t>201</w:t>
      </w:r>
      <w:r w:rsidR="00F66E9B" w:rsidRPr="00F67A54">
        <w:rPr>
          <w:rFonts w:ascii="Sylfaen" w:hAnsi="Sylfaen"/>
        </w:rPr>
        <w:t>7</w:t>
      </w:r>
      <w:r w:rsidR="00F66E9B">
        <w:rPr>
          <w:rFonts w:ascii="Sylfaen" w:hAnsi="Sylfaen"/>
          <w:lang w:val="ka-GE"/>
        </w:rPr>
        <w:t xml:space="preserve"> წელს კი </w:t>
      </w:r>
      <w:r w:rsidR="00F66E9B" w:rsidRPr="00F67A54">
        <w:rPr>
          <w:rFonts w:ascii="Sylfaen" w:hAnsi="Sylfaen"/>
          <w:lang w:val="ka-GE"/>
        </w:rPr>
        <w:t>9</w:t>
      </w:r>
      <w:r w:rsidR="00F66E9B" w:rsidRPr="00F67A54">
        <w:rPr>
          <w:rFonts w:ascii="Sylfaen" w:hAnsi="Sylfaen"/>
        </w:rPr>
        <w:t xml:space="preserve">86 </w:t>
      </w:r>
      <w:r w:rsidR="00F66E9B" w:rsidRPr="00F67A54">
        <w:rPr>
          <w:rFonts w:ascii="Sylfaen" w:hAnsi="Sylfaen"/>
          <w:lang w:val="ka-GE"/>
        </w:rPr>
        <w:t xml:space="preserve">მლნ. </w:t>
      </w:r>
      <w:r w:rsidR="00F66E9B">
        <w:rPr>
          <w:rFonts w:ascii="Sylfaen" w:hAnsi="Sylfaen"/>
          <w:lang w:val="ka-GE"/>
        </w:rPr>
        <w:t xml:space="preserve">ლარს შეადგენს. აღნიშნული თანხები ნაწილდება ჯანდაცვის პროგრამებზე, რაც </w:t>
      </w:r>
      <w:r>
        <w:rPr>
          <w:rFonts w:ascii="Sylfaen" w:hAnsi="Sylfaen"/>
          <w:lang w:val="ka-GE"/>
        </w:rPr>
        <w:t>იმას ნიშნავს, რომ ეს თანხები</w:t>
      </w:r>
      <w:r w:rsidR="00F66E9B">
        <w:rPr>
          <w:rFonts w:ascii="Sylfaen" w:hAnsi="Sylfaen"/>
          <w:lang w:val="ka-GE"/>
        </w:rPr>
        <w:t xml:space="preserve"> პროვაიდერი კლინიკების  ბიუჯეტზე  </w:t>
      </w:r>
      <w:r>
        <w:rPr>
          <w:rFonts w:ascii="Sylfaen" w:hAnsi="Sylfaen"/>
          <w:lang w:val="ka-GE"/>
        </w:rPr>
        <w:t xml:space="preserve">დადებითად </w:t>
      </w:r>
      <w:r w:rsidR="00F66E9B">
        <w:rPr>
          <w:rFonts w:ascii="Sylfaen" w:hAnsi="Sylfaen"/>
          <w:lang w:val="ka-GE"/>
        </w:rPr>
        <w:t xml:space="preserve">აისახება. </w:t>
      </w:r>
      <w:r w:rsidR="003517C5">
        <w:rPr>
          <w:rFonts w:ascii="Sylfaen" w:hAnsi="Sylfaen"/>
          <w:lang w:val="ka-GE"/>
        </w:rPr>
        <w:t xml:space="preserve"> ჯანდაცვის პროგრამების ეფექტიან მუშაობას ადასტურებს  საერთასორისო კვლევები. მსოფლიო ბანკის,  ჯანდაცვის მსოფლიო ორგანიზაციისა და </w:t>
      </w:r>
      <w:r w:rsidR="003517C5">
        <w:rPr>
          <w:rFonts w:ascii="Sylfaen" w:hAnsi="Sylfaen"/>
        </w:rPr>
        <w:t>USAID</w:t>
      </w:r>
      <w:r w:rsidR="003517C5">
        <w:rPr>
          <w:rFonts w:ascii="Sylfaen" w:hAnsi="Sylfaen"/>
          <w:lang w:val="ka-GE"/>
        </w:rPr>
        <w:t xml:space="preserve">-ის შეფასებით  </w:t>
      </w:r>
    </w:p>
    <w:p w:rsidR="00F9405F" w:rsidRPr="003517C5" w:rsidRDefault="000C0EA2" w:rsidP="00130ED7">
      <w:pPr>
        <w:pStyle w:val="ListParagraph"/>
        <w:numPr>
          <w:ilvl w:val="0"/>
          <w:numId w:val="4"/>
        </w:numPr>
        <w:jc w:val="both"/>
        <w:rPr>
          <w:rFonts w:ascii="Sylfaen" w:hAnsi="Sylfaen"/>
        </w:rPr>
      </w:pPr>
      <w:r w:rsidRPr="003517C5">
        <w:rPr>
          <w:rFonts w:ascii="Sylfaen" w:hAnsi="Sylfaen" w:cs="Sylfaen"/>
          <w:lang w:val="ka-GE"/>
        </w:rPr>
        <w:t>საქართველოს</w:t>
      </w:r>
      <w:r w:rsidRPr="003517C5">
        <w:rPr>
          <w:rFonts w:ascii="Sylfaen" w:hAnsi="Sylfaen"/>
          <w:lang w:val="ka-GE"/>
        </w:rPr>
        <w:t xml:space="preserve"> მთავრობამ თითოეული მოქალაქისათვის  ჯანდაცვის უფლებით უნივერსალური სარგებლობის ფუნდამენტი</w:t>
      </w:r>
      <w:r w:rsidR="00E9358F">
        <w:rPr>
          <w:rFonts w:ascii="Sylfaen" w:hAnsi="Sylfaen"/>
          <w:lang w:val="ka-GE"/>
        </w:rPr>
        <w:t xml:space="preserve"> </w:t>
      </w:r>
      <w:r w:rsidR="00E9358F" w:rsidRPr="003517C5">
        <w:rPr>
          <w:rFonts w:ascii="Sylfaen" w:hAnsi="Sylfaen"/>
          <w:lang w:val="ka-GE"/>
        </w:rPr>
        <w:t>შექმნა</w:t>
      </w:r>
      <w:r w:rsidR="00E9358F">
        <w:rPr>
          <w:rFonts w:ascii="Sylfaen" w:hAnsi="Sylfaen"/>
          <w:lang w:val="ka-GE"/>
        </w:rPr>
        <w:t>.</w:t>
      </w:r>
      <w:r w:rsidRPr="003517C5">
        <w:rPr>
          <w:rFonts w:ascii="Sylfaen" w:hAnsi="Sylfaen"/>
          <w:lang w:val="ka-GE"/>
        </w:rPr>
        <w:t xml:space="preserve"> </w:t>
      </w:r>
    </w:p>
    <w:p w:rsidR="003517C5" w:rsidRPr="003517C5" w:rsidRDefault="003517C5" w:rsidP="00130ED7">
      <w:pPr>
        <w:pStyle w:val="ListParagraph"/>
        <w:numPr>
          <w:ilvl w:val="0"/>
          <w:numId w:val="4"/>
        </w:numPr>
        <w:jc w:val="both"/>
        <w:rPr>
          <w:rFonts w:ascii="Sylfaen" w:hAnsi="Sylfaen"/>
        </w:rPr>
      </w:pPr>
      <w:r w:rsidRPr="003517C5">
        <w:rPr>
          <w:rFonts w:ascii="Sylfaen" w:hAnsi="Sylfaen"/>
          <w:lang w:val="ka-GE"/>
        </w:rPr>
        <w:t>საქართველოს ყველა მოქალაქე უზრუნველყოფილია საბაზისო სამედიცინო მომსახურებით</w:t>
      </w:r>
      <w:r w:rsidR="00E9358F">
        <w:rPr>
          <w:rFonts w:ascii="Sylfaen" w:hAnsi="Sylfaen"/>
          <w:lang w:val="ka-GE"/>
        </w:rPr>
        <w:t>.</w:t>
      </w:r>
    </w:p>
    <w:p w:rsidR="003517C5" w:rsidRPr="003517C5" w:rsidRDefault="003517C5" w:rsidP="00130ED7">
      <w:pPr>
        <w:pStyle w:val="ListParagraph"/>
        <w:numPr>
          <w:ilvl w:val="0"/>
          <w:numId w:val="4"/>
        </w:numPr>
        <w:jc w:val="both"/>
        <w:rPr>
          <w:rFonts w:ascii="Sylfaen" w:hAnsi="Sylfaen"/>
        </w:rPr>
      </w:pPr>
      <w:r w:rsidRPr="003517C5">
        <w:rPr>
          <w:rFonts w:ascii="Sylfaen" w:hAnsi="Sylfaen"/>
          <w:lang w:val="ka-GE"/>
        </w:rPr>
        <w:t>საყოველთაო ჯანდაცვის მოსარგებლეების აბსოლუტური უმრავლესობა (96.4%) კმაყოფილი ან ძალიან კმაყოფილია ჰოსპიტალური და ამბულატორიული მომსახურებით</w:t>
      </w:r>
      <w:r w:rsidR="00E9358F">
        <w:rPr>
          <w:rFonts w:ascii="Sylfaen" w:hAnsi="Sylfaen"/>
          <w:lang w:val="ka-GE"/>
        </w:rPr>
        <w:t>.</w:t>
      </w:r>
    </w:p>
    <w:p w:rsidR="003517C5" w:rsidRPr="00A82469" w:rsidRDefault="003517C5" w:rsidP="00130ED7">
      <w:pPr>
        <w:pStyle w:val="ListParagraph"/>
        <w:numPr>
          <w:ilvl w:val="0"/>
          <w:numId w:val="4"/>
        </w:numPr>
        <w:spacing w:before="120" w:after="240"/>
        <w:jc w:val="both"/>
        <w:rPr>
          <w:rFonts w:ascii="Sylfaen" w:hAnsi="Sylfaen"/>
        </w:rPr>
      </w:pPr>
      <w:r w:rsidRPr="00A82469">
        <w:rPr>
          <w:rFonts w:ascii="Sylfaen" w:hAnsi="Sylfaen"/>
          <w:bCs/>
          <w:lang w:val="ka-GE"/>
        </w:rPr>
        <w:t>გეგმიური ამბულატორიის კომპონენტში გამოკითხულთა</w:t>
      </w:r>
      <w:r w:rsidR="00E9358F">
        <w:rPr>
          <w:rFonts w:ascii="Sylfaen" w:hAnsi="Sylfaen"/>
          <w:bCs/>
          <w:lang w:val="ka-GE"/>
        </w:rPr>
        <w:t xml:space="preserve"> 84.1%, </w:t>
      </w:r>
      <w:r w:rsidRPr="00A82469">
        <w:rPr>
          <w:rFonts w:ascii="Sylfaen" w:hAnsi="Sylfaen"/>
          <w:bCs/>
          <w:lang w:val="ka-GE"/>
        </w:rPr>
        <w:t xml:space="preserve">  გეგმიური ჰოსპიტალზიაციისა და გადაუდებელი ამბულატორიის კომპონენტში </w:t>
      </w:r>
      <w:r w:rsidR="00E9358F">
        <w:rPr>
          <w:rFonts w:ascii="Sylfaen" w:hAnsi="Sylfaen"/>
          <w:bCs/>
          <w:lang w:val="ka-GE"/>
        </w:rPr>
        <w:t xml:space="preserve">კი </w:t>
      </w:r>
      <w:r w:rsidRPr="00A82469">
        <w:rPr>
          <w:rFonts w:ascii="Sylfaen" w:hAnsi="Sylfaen"/>
          <w:bCs/>
          <w:lang w:val="ka-GE"/>
        </w:rPr>
        <w:t>რესპონდენტთა 78.2% აღნიშნავს, რომ  საყოველთაო ჯანდაცვის პროგრამის ყველაზე დადებითი მხარეს  მოსახლეობის ფინანსური მხარდაჭერა</w:t>
      </w:r>
      <w:r w:rsidR="00E9358F">
        <w:rPr>
          <w:rFonts w:ascii="Sylfaen" w:hAnsi="Sylfaen"/>
          <w:bCs/>
          <w:lang w:val="ka-GE"/>
        </w:rPr>
        <w:t xml:space="preserve"> </w:t>
      </w:r>
      <w:r w:rsidR="00E9358F" w:rsidRPr="00A82469">
        <w:rPr>
          <w:rFonts w:ascii="Sylfaen" w:hAnsi="Sylfaen"/>
          <w:bCs/>
          <w:lang w:val="ka-GE"/>
        </w:rPr>
        <w:t>წარმოადგენს</w:t>
      </w:r>
      <w:r w:rsidRPr="00A82469">
        <w:rPr>
          <w:rFonts w:ascii="Sylfaen" w:hAnsi="Sylfaen"/>
          <w:bCs/>
          <w:lang w:val="ka-GE"/>
        </w:rPr>
        <w:t xml:space="preserve">.  მოსარგებლეთა უმრავლესობა </w:t>
      </w:r>
      <w:r w:rsidR="00C11224" w:rsidRPr="00A82469">
        <w:rPr>
          <w:rFonts w:ascii="Sylfaen" w:hAnsi="Sylfaen"/>
          <w:bCs/>
          <w:lang w:val="ka-GE"/>
        </w:rPr>
        <w:t>ასევე</w:t>
      </w:r>
      <w:r w:rsidR="00C11224">
        <w:rPr>
          <w:rFonts w:ascii="Sylfaen" w:hAnsi="Sylfaen"/>
          <w:bCs/>
          <w:lang w:val="ka-GE"/>
        </w:rPr>
        <w:t xml:space="preserve"> </w:t>
      </w:r>
      <w:r w:rsidRPr="00A82469">
        <w:rPr>
          <w:rFonts w:ascii="Sylfaen" w:hAnsi="Sylfaen"/>
          <w:bCs/>
          <w:lang w:val="ka-GE"/>
        </w:rPr>
        <w:t>მიუთითებს</w:t>
      </w:r>
      <w:r w:rsidR="00C11224">
        <w:rPr>
          <w:rFonts w:ascii="Sylfaen" w:hAnsi="Sylfaen"/>
          <w:bCs/>
          <w:lang w:val="ka-GE"/>
        </w:rPr>
        <w:t xml:space="preserve">,  </w:t>
      </w:r>
      <w:r w:rsidRPr="00A82469">
        <w:rPr>
          <w:rFonts w:ascii="Sylfaen" w:hAnsi="Sylfaen"/>
          <w:bCs/>
          <w:lang w:val="ka-GE"/>
        </w:rPr>
        <w:t xml:space="preserve">თავისუფალი არჩევანის </w:t>
      </w:r>
      <w:r w:rsidR="00C11224">
        <w:rPr>
          <w:rFonts w:ascii="Sylfaen" w:hAnsi="Sylfaen"/>
          <w:bCs/>
          <w:lang w:val="ka-GE"/>
        </w:rPr>
        <w:t>უფლებას</w:t>
      </w:r>
      <w:r w:rsidRPr="00A82469">
        <w:rPr>
          <w:rFonts w:ascii="Sylfaen" w:hAnsi="Sylfaen"/>
          <w:bCs/>
          <w:lang w:val="ka-GE"/>
        </w:rPr>
        <w:t xml:space="preserve">, როგორც საყოველთაო ჯანდაცვის პროგრამის ერთ-ერთ მთავარ დადებით </w:t>
      </w:r>
      <w:r w:rsidR="00C11224">
        <w:rPr>
          <w:rFonts w:ascii="Sylfaen" w:hAnsi="Sylfaen"/>
          <w:bCs/>
          <w:lang w:val="ka-GE"/>
        </w:rPr>
        <w:t>მხარეს</w:t>
      </w:r>
      <w:r w:rsidRPr="00A82469">
        <w:rPr>
          <w:rFonts w:ascii="Sylfaen" w:hAnsi="Sylfaen"/>
          <w:bCs/>
          <w:lang w:val="ka-GE"/>
        </w:rPr>
        <w:t>;</w:t>
      </w:r>
    </w:p>
    <w:p w:rsidR="00C11224" w:rsidRDefault="00C11224" w:rsidP="00C11224">
      <w:pPr>
        <w:pStyle w:val="ListParagraph"/>
        <w:jc w:val="both"/>
        <w:rPr>
          <w:rFonts w:ascii="Sylfaen" w:hAnsi="Sylfaen"/>
          <w:lang w:val="ka-GE"/>
        </w:rPr>
      </w:pPr>
    </w:p>
    <w:p w:rsidR="003517C5" w:rsidRPr="00C11224" w:rsidRDefault="00B3700B" w:rsidP="00130ED7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C11224">
        <w:rPr>
          <w:rFonts w:ascii="Sylfaen" w:hAnsi="Sylfaen"/>
          <w:b/>
          <w:lang w:val="ka-GE"/>
        </w:rPr>
        <w:t>ახალი კლინიკების რეგისტრაცია</w:t>
      </w:r>
    </w:p>
    <w:p w:rsidR="0028750F" w:rsidRDefault="00B3700B" w:rsidP="00130ED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საყოველთაო ჯანდაცვის პროგრამა,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>ჰეპატიტის ელიმინაციის პროგრამა</w:t>
      </w:r>
      <w:r w:rsidR="00C11224">
        <w:rPr>
          <w:rFonts w:ascii="Sylfaen" w:hAnsi="Sylfaen"/>
          <w:lang w:val="ka-GE"/>
        </w:rPr>
        <w:t xml:space="preserve"> და 20-ზე მეტი </w:t>
      </w:r>
      <w:r>
        <w:rPr>
          <w:rFonts w:ascii="Sylfaen" w:hAnsi="Sylfaen"/>
          <w:lang w:val="ka-GE"/>
        </w:rPr>
        <w:t xml:space="preserve">ვერტიკალური </w:t>
      </w:r>
      <w:r w:rsidR="00C11224">
        <w:rPr>
          <w:rFonts w:ascii="Sylfaen" w:hAnsi="Sylfaen"/>
          <w:lang w:val="ka-GE"/>
        </w:rPr>
        <w:t>პროგრამა,</w:t>
      </w:r>
      <w:r>
        <w:rPr>
          <w:rFonts w:ascii="Sylfaen" w:hAnsi="Sylfaen"/>
          <w:lang w:val="ka-GE"/>
        </w:rPr>
        <w:t xml:space="preserve">  სახელმწიფოსგან პროვაიდერ დაწესებულებებში ფინანსების მიმართვის მთავარ წყაროს</w:t>
      </w:r>
      <w:r w:rsidR="00C11224">
        <w:rPr>
          <w:rFonts w:ascii="Sylfaen" w:hAnsi="Sylfaen"/>
          <w:lang w:val="ka-GE"/>
        </w:rPr>
        <w:t xml:space="preserve"> წარმოადგენს</w:t>
      </w:r>
      <w:r>
        <w:rPr>
          <w:rFonts w:ascii="Sylfaen" w:hAnsi="Sylfaen"/>
          <w:lang w:val="ka-GE"/>
        </w:rPr>
        <w:t xml:space="preserve">. </w:t>
      </w:r>
      <w:r w:rsidR="00C11224">
        <w:rPr>
          <w:rFonts w:ascii="Sylfaen" w:hAnsi="Sylfaen"/>
          <w:lang w:val="ka-GE"/>
        </w:rPr>
        <w:t xml:space="preserve">სწორედ, </w:t>
      </w:r>
      <w:r>
        <w:rPr>
          <w:rFonts w:ascii="Sylfaen" w:hAnsi="Sylfaen"/>
          <w:lang w:val="ka-GE"/>
        </w:rPr>
        <w:t xml:space="preserve">ჯანდაცვის </w:t>
      </w:r>
      <w:r w:rsidR="0028750F">
        <w:rPr>
          <w:rFonts w:ascii="Sylfaen" w:hAnsi="Sylfaen"/>
          <w:lang w:val="ka-GE"/>
        </w:rPr>
        <w:t>პროგრამების განვითარების პარალელურად ვითარდება</w:t>
      </w:r>
      <w:r w:rsidR="00C11224">
        <w:rPr>
          <w:rFonts w:ascii="Sylfaen" w:hAnsi="Sylfaen"/>
          <w:lang w:val="ka-GE"/>
        </w:rPr>
        <w:t xml:space="preserve"> </w:t>
      </w:r>
      <w:r w:rsidR="0028750F" w:rsidRPr="0028750F">
        <w:rPr>
          <w:rFonts w:ascii="Sylfaen" w:hAnsi="Sylfaen"/>
          <w:lang w:val="ka-GE"/>
        </w:rPr>
        <w:t>სამედიცინო დაწესებულებები და მათი პროფილური მიმართულებები</w:t>
      </w:r>
      <w:r w:rsidR="0028750F">
        <w:rPr>
          <w:rFonts w:ascii="Sylfaen" w:hAnsi="Sylfaen"/>
          <w:lang w:val="ka-GE"/>
        </w:rPr>
        <w:t xml:space="preserve">, იხსნება ახალი სამედიცინო დაწესებულებები. </w:t>
      </w:r>
      <w:r w:rsidR="0028750F" w:rsidRPr="0028750F">
        <w:rPr>
          <w:rFonts w:ascii="Sylfaen" w:hAnsi="Sylfaen"/>
          <w:lang w:val="ka-GE"/>
        </w:rPr>
        <w:t>2014-2017 წლებში გაიხსნა 59 სტაციონარი (1821 საწოლი, მათ შორის,   ბავშვთა - 191</w:t>
      </w:r>
      <w:r w:rsidR="0028750F" w:rsidRPr="0028750F">
        <w:rPr>
          <w:rFonts w:ascii="Sylfaen" w:hAnsi="Sylfaen"/>
        </w:rPr>
        <w:t xml:space="preserve"> </w:t>
      </w:r>
      <w:r w:rsidR="0028750F" w:rsidRPr="0028750F">
        <w:rPr>
          <w:rFonts w:ascii="Sylfaen" w:hAnsi="Sylfaen"/>
          <w:lang w:val="ka-GE"/>
        </w:rPr>
        <w:t>საწოლი)</w:t>
      </w:r>
      <w:r w:rsidR="00745372">
        <w:rPr>
          <w:rFonts w:ascii="Sylfaen" w:hAnsi="Sylfaen"/>
          <w:lang w:val="ka-GE"/>
        </w:rPr>
        <w:t xml:space="preserve"> და </w:t>
      </w:r>
      <w:r w:rsidR="00745372">
        <w:rPr>
          <w:rFonts w:ascii="Sylfaen" w:hAnsi="Sylfaen"/>
          <w:sz w:val="24"/>
          <w:szCs w:val="24"/>
          <w:lang w:val="ka-GE"/>
        </w:rPr>
        <w:t>259 ახალი ამბულატორია.</w:t>
      </w:r>
    </w:p>
    <w:p w:rsidR="0028750F" w:rsidRPr="00745372" w:rsidRDefault="00745372" w:rsidP="00130ED7">
      <w:pPr>
        <w:jc w:val="both"/>
        <w:rPr>
          <w:rFonts w:ascii="Sylfaen" w:hAnsi="Sylfaen"/>
          <w:b/>
          <w:lang w:val="ka-GE"/>
        </w:rPr>
      </w:pPr>
      <w:r w:rsidRPr="00745372">
        <w:rPr>
          <w:rFonts w:ascii="Sylfaen" w:hAnsi="Sylfaen"/>
          <w:b/>
          <w:lang w:val="ka-GE"/>
        </w:rPr>
        <w:t>სტაციონარები:</w:t>
      </w:r>
    </w:p>
    <w:p w:rsidR="0028750F" w:rsidRPr="0028750F" w:rsidRDefault="0028750F" w:rsidP="00130ED7">
      <w:pPr>
        <w:jc w:val="both"/>
        <w:rPr>
          <w:rFonts w:ascii="Sylfaen" w:hAnsi="Sylfaen"/>
          <w:lang w:val="ka-GE"/>
        </w:rPr>
      </w:pPr>
      <w:r w:rsidRPr="0028750F">
        <w:rPr>
          <w:rFonts w:ascii="Sylfaen" w:hAnsi="Sylfaen"/>
          <w:u w:val="single"/>
          <w:lang w:val="ka-GE"/>
        </w:rPr>
        <w:t>2014  წელი</w:t>
      </w:r>
      <w:r w:rsidRPr="0028750F">
        <w:rPr>
          <w:rFonts w:ascii="Sylfaen" w:hAnsi="Sylfaen"/>
          <w:lang w:val="ka-GE"/>
        </w:rPr>
        <w:t xml:space="preserve">  -  20  ახალი  სტაციონარი  (597 საწოლი,  მათ შორის,  ბავშვთა -  40 საწოლი )</w:t>
      </w:r>
    </w:p>
    <w:p w:rsidR="0028750F" w:rsidRPr="0028750F" w:rsidRDefault="0028750F" w:rsidP="00130ED7">
      <w:pPr>
        <w:jc w:val="both"/>
        <w:rPr>
          <w:rFonts w:ascii="Sylfaen" w:hAnsi="Sylfaen"/>
          <w:lang w:val="ka-GE"/>
        </w:rPr>
      </w:pPr>
      <w:r w:rsidRPr="0028750F">
        <w:rPr>
          <w:rFonts w:ascii="Sylfaen" w:hAnsi="Sylfaen"/>
          <w:u w:val="single"/>
          <w:lang w:val="ka-GE"/>
        </w:rPr>
        <w:t>2015 წელი</w:t>
      </w:r>
      <w:r w:rsidRPr="0028750F">
        <w:rPr>
          <w:rFonts w:ascii="Sylfaen" w:hAnsi="Sylfaen"/>
          <w:lang w:val="ka-GE"/>
        </w:rPr>
        <w:t xml:space="preserve">  -  11 ახალი  სტაციონარი     (309  საწოლი, მათ შორის,   ბავშვთა -21  საწოლი)</w:t>
      </w:r>
    </w:p>
    <w:p w:rsidR="0028750F" w:rsidRPr="0028750F" w:rsidRDefault="0028750F" w:rsidP="00130ED7">
      <w:pPr>
        <w:jc w:val="both"/>
        <w:rPr>
          <w:rFonts w:ascii="Sylfaen" w:hAnsi="Sylfaen"/>
          <w:lang w:val="ka-GE"/>
        </w:rPr>
      </w:pPr>
      <w:r w:rsidRPr="0028750F">
        <w:rPr>
          <w:rFonts w:ascii="Sylfaen" w:hAnsi="Sylfaen"/>
          <w:u w:val="single"/>
          <w:lang w:val="ka-GE"/>
        </w:rPr>
        <w:t>2016 წელი</w:t>
      </w:r>
      <w:r w:rsidRPr="0028750F">
        <w:rPr>
          <w:rFonts w:ascii="Sylfaen" w:hAnsi="Sylfaen"/>
          <w:lang w:val="ka-GE"/>
        </w:rPr>
        <w:t>-21 ახალი სტაციონარი (385 საწოლი, მათ შორის, ბავშვთა - 61 საწოლი)</w:t>
      </w:r>
    </w:p>
    <w:p w:rsidR="0028750F" w:rsidRPr="0028750F" w:rsidRDefault="0028750F" w:rsidP="00130ED7">
      <w:pPr>
        <w:jc w:val="both"/>
        <w:rPr>
          <w:rFonts w:ascii="Sylfaen" w:hAnsi="Sylfaen"/>
        </w:rPr>
      </w:pPr>
      <w:r w:rsidRPr="0028750F">
        <w:rPr>
          <w:rFonts w:ascii="Sylfaen" w:hAnsi="Sylfaen"/>
          <w:u w:val="single"/>
          <w:lang w:val="ka-GE"/>
        </w:rPr>
        <w:t>2017 წელი</w:t>
      </w:r>
      <w:r w:rsidRPr="0028750F">
        <w:rPr>
          <w:rFonts w:ascii="Sylfaen" w:hAnsi="Sylfaen"/>
          <w:lang w:val="ka-GE"/>
        </w:rPr>
        <w:t xml:space="preserve">  - 7 ახალი სტაციონარი (530 საწოლი, მათ შორის,   ბავშვთა - </w:t>
      </w:r>
      <w:r w:rsidRPr="0028750F">
        <w:rPr>
          <w:rFonts w:ascii="Sylfaen" w:hAnsi="Sylfaen"/>
        </w:rPr>
        <w:t xml:space="preserve">69  </w:t>
      </w:r>
      <w:r w:rsidRPr="0028750F">
        <w:rPr>
          <w:rFonts w:ascii="Sylfaen" w:hAnsi="Sylfaen"/>
          <w:lang w:val="ka-GE"/>
        </w:rPr>
        <w:t>საწოლი)</w:t>
      </w:r>
    </w:p>
    <w:p w:rsidR="006464C0" w:rsidRDefault="006464C0" w:rsidP="00130ED7">
      <w:pPr>
        <w:jc w:val="both"/>
        <w:rPr>
          <w:rFonts w:ascii="Sylfaen" w:hAnsi="Sylfaen"/>
          <w:b/>
        </w:rPr>
      </w:pPr>
    </w:p>
    <w:p w:rsidR="00D15A14" w:rsidRDefault="00D15A14" w:rsidP="00130ED7">
      <w:pPr>
        <w:jc w:val="both"/>
        <w:rPr>
          <w:rFonts w:ascii="Sylfaen" w:hAnsi="Sylfaen"/>
          <w:b/>
          <w:lang w:val="ka-GE"/>
        </w:rPr>
      </w:pPr>
    </w:p>
    <w:p w:rsidR="0028750F" w:rsidRPr="00745372" w:rsidRDefault="00745372" w:rsidP="00130ED7">
      <w:pPr>
        <w:jc w:val="both"/>
        <w:rPr>
          <w:rFonts w:ascii="Sylfaen" w:hAnsi="Sylfaen"/>
          <w:b/>
          <w:lang w:val="ka-GE"/>
        </w:rPr>
      </w:pPr>
      <w:r w:rsidRPr="00745372">
        <w:rPr>
          <w:rFonts w:ascii="Sylfaen" w:hAnsi="Sylfaen"/>
          <w:b/>
          <w:lang w:val="ka-GE"/>
        </w:rPr>
        <w:lastRenderedPageBreak/>
        <w:t xml:space="preserve">ამბულატორიები: </w:t>
      </w:r>
    </w:p>
    <w:p w:rsidR="0028750F" w:rsidRPr="0028750F" w:rsidRDefault="0028750F" w:rsidP="00130ED7">
      <w:pPr>
        <w:jc w:val="both"/>
        <w:rPr>
          <w:rFonts w:ascii="Sylfaen" w:hAnsi="Sylfaen"/>
          <w:lang w:val="ka-GE"/>
        </w:rPr>
      </w:pPr>
      <w:r w:rsidRPr="0028750F">
        <w:rPr>
          <w:rFonts w:ascii="Sylfaen" w:hAnsi="Sylfaen"/>
          <w:lang w:val="ka-GE"/>
        </w:rPr>
        <w:t>2014 წელი</w:t>
      </w:r>
      <w:r w:rsidRPr="0028750F">
        <w:t xml:space="preserve">  -</w:t>
      </w:r>
      <w:r w:rsidRPr="0028750F">
        <w:rPr>
          <w:rFonts w:ascii="Sylfaen" w:hAnsi="Sylfaen"/>
          <w:lang w:val="ka-GE"/>
        </w:rPr>
        <w:t xml:space="preserve"> 44 აახალი ამბულატორია</w:t>
      </w:r>
    </w:p>
    <w:p w:rsidR="0028750F" w:rsidRPr="0028750F" w:rsidRDefault="0028750F" w:rsidP="00130ED7">
      <w:pPr>
        <w:jc w:val="both"/>
        <w:rPr>
          <w:rFonts w:ascii="Sylfaen" w:hAnsi="Sylfaen"/>
          <w:lang w:val="ka-GE"/>
        </w:rPr>
      </w:pPr>
      <w:r w:rsidRPr="0028750F">
        <w:rPr>
          <w:rFonts w:ascii="Sylfaen" w:hAnsi="Sylfaen"/>
          <w:lang w:val="ka-GE"/>
        </w:rPr>
        <w:t>2015 წელი - 64 ახალი ამბულატორია</w:t>
      </w:r>
    </w:p>
    <w:p w:rsidR="0028750F" w:rsidRPr="0028750F" w:rsidRDefault="0028750F" w:rsidP="00130ED7">
      <w:pPr>
        <w:jc w:val="both"/>
        <w:rPr>
          <w:rFonts w:ascii="Sylfaen" w:hAnsi="Sylfaen"/>
          <w:lang w:val="ka-GE"/>
        </w:rPr>
      </w:pPr>
      <w:r w:rsidRPr="0028750F">
        <w:rPr>
          <w:rFonts w:ascii="Sylfaen" w:hAnsi="Sylfaen"/>
          <w:lang w:val="ka-GE"/>
        </w:rPr>
        <w:t>2016 წელი - 41 ახალი ამბულატორია</w:t>
      </w:r>
    </w:p>
    <w:p w:rsidR="0028750F" w:rsidRPr="00D65E66" w:rsidRDefault="0028750F" w:rsidP="00C11224">
      <w:pPr>
        <w:pStyle w:val="ListParagraph"/>
        <w:numPr>
          <w:ilvl w:val="0"/>
          <w:numId w:val="6"/>
        </w:numPr>
        <w:ind w:left="450"/>
        <w:jc w:val="both"/>
        <w:rPr>
          <w:rFonts w:ascii="Sylfaen" w:hAnsi="Sylfaen"/>
          <w:lang w:val="ka-GE"/>
        </w:rPr>
      </w:pPr>
      <w:r w:rsidRPr="00D65E66">
        <w:rPr>
          <w:rFonts w:ascii="Sylfaen" w:hAnsi="Sylfaen"/>
          <w:lang w:val="ka-GE"/>
        </w:rPr>
        <w:t>წელი - 110 ახალი ამბულატორია</w:t>
      </w:r>
    </w:p>
    <w:p w:rsidR="0028750F" w:rsidRDefault="0028750F" w:rsidP="00130ED7">
      <w:pPr>
        <w:jc w:val="both"/>
        <w:rPr>
          <w:rFonts w:ascii="Sylfaen" w:hAnsi="Sylfaen"/>
          <w:lang w:val="ka-GE"/>
        </w:rPr>
      </w:pPr>
    </w:p>
    <w:p w:rsidR="00D65E66" w:rsidRPr="00745372" w:rsidRDefault="00D65E66" w:rsidP="00130ED7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745372">
        <w:rPr>
          <w:rFonts w:ascii="Sylfaen" w:hAnsi="Sylfaen" w:cs="Sylfaen"/>
          <w:b/>
          <w:lang w:val="ka-GE"/>
        </w:rPr>
        <w:t>სელექტიური</w:t>
      </w:r>
      <w:r w:rsidRPr="00745372">
        <w:rPr>
          <w:rFonts w:ascii="Sylfaen" w:hAnsi="Sylfaen"/>
          <w:b/>
          <w:lang w:val="ka-GE"/>
        </w:rPr>
        <w:t xml:space="preserve"> კონტრაქტირება</w:t>
      </w:r>
      <w:r w:rsidR="00162059" w:rsidRPr="00745372">
        <w:rPr>
          <w:rFonts w:ascii="Sylfaen" w:hAnsi="Sylfaen"/>
          <w:b/>
          <w:lang w:val="ka-GE"/>
        </w:rPr>
        <w:t>,</w:t>
      </w:r>
      <w:r w:rsidRPr="00745372">
        <w:rPr>
          <w:rFonts w:ascii="Sylfaen" w:hAnsi="Sylfaen"/>
          <w:b/>
          <w:lang w:val="ka-GE"/>
        </w:rPr>
        <w:t xml:space="preserve"> ხარისხის კონტროლი</w:t>
      </w:r>
      <w:r w:rsidR="00745372">
        <w:rPr>
          <w:rFonts w:ascii="Sylfaen" w:hAnsi="Sylfaen"/>
          <w:b/>
          <w:lang w:val="ka-GE"/>
        </w:rPr>
        <w:t xml:space="preserve"> და</w:t>
      </w:r>
      <w:r w:rsidR="00162059" w:rsidRPr="00745372">
        <w:rPr>
          <w:rFonts w:ascii="Sylfaen" w:hAnsi="Sylfaen"/>
          <w:b/>
          <w:lang w:val="ka-GE"/>
        </w:rPr>
        <w:t xml:space="preserve"> ჯარიმები</w:t>
      </w:r>
    </w:p>
    <w:p w:rsidR="00745372" w:rsidRDefault="00707F1C" w:rsidP="00130ED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რეფორმების მიუხედავად, არაერთი გამოწვევა რჩება ჯანდაცვის სისტემაში</w:t>
      </w:r>
      <w:r w:rsidR="00745372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ერთ-ერთი </w:t>
      </w:r>
      <w:r w:rsidR="00745372">
        <w:rPr>
          <w:rFonts w:ascii="Sylfaen" w:hAnsi="Sylfaen"/>
          <w:lang w:val="ka-GE"/>
        </w:rPr>
        <w:t>უმთავრესი</w:t>
      </w:r>
      <w:r>
        <w:rPr>
          <w:rFonts w:ascii="Sylfaen" w:hAnsi="Sylfaen"/>
          <w:lang w:val="ka-GE"/>
        </w:rPr>
        <w:t xml:space="preserve"> </w:t>
      </w:r>
      <w:r w:rsidR="00745372">
        <w:rPr>
          <w:rFonts w:ascii="Sylfaen" w:hAnsi="Sylfaen"/>
          <w:lang w:val="ka-GE"/>
        </w:rPr>
        <w:t xml:space="preserve">კი </w:t>
      </w:r>
      <w:r>
        <w:rPr>
          <w:rFonts w:ascii="Sylfaen" w:hAnsi="Sylfaen"/>
          <w:lang w:val="ka-GE"/>
        </w:rPr>
        <w:t>ხარისხის კონტროლი</w:t>
      </w:r>
      <w:r w:rsidR="00745372">
        <w:rPr>
          <w:rFonts w:ascii="Sylfaen" w:hAnsi="Sylfaen"/>
          <w:lang w:val="ka-GE"/>
        </w:rPr>
        <w:t>ს სისტემაა</w:t>
      </w:r>
      <w:r>
        <w:rPr>
          <w:rFonts w:ascii="Sylfaen" w:hAnsi="Sylfaen"/>
          <w:lang w:val="ka-GE"/>
        </w:rPr>
        <w:t xml:space="preserve">. </w:t>
      </w:r>
      <w:r w:rsidR="00745372">
        <w:rPr>
          <w:rFonts w:ascii="Sylfaen" w:hAnsi="Sylfaen"/>
          <w:lang w:val="ka-GE"/>
        </w:rPr>
        <w:t>მთავარი</w:t>
      </w:r>
      <w:r>
        <w:rPr>
          <w:rFonts w:ascii="Sylfaen" w:hAnsi="Sylfaen"/>
          <w:lang w:val="ka-GE"/>
        </w:rPr>
        <w:t xml:space="preserve"> ბერკეტი, რაც ხარისხის კონტროლის გაუმჯობესების მიზნით </w:t>
      </w:r>
      <w:r w:rsidR="00745372">
        <w:rPr>
          <w:rFonts w:ascii="Sylfaen" w:hAnsi="Sylfaen"/>
          <w:lang w:val="ka-GE"/>
        </w:rPr>
        <w:t xml:space="preserve">სამინისტრომ </w:t>
      </w:r>
      <w:r>
        <w:rPr>
          <w:rFonts w:ascii="Sylfaen" w:hAnsi="Sylfaen"/>
          <w:lang w:val="ka-GE"/>
        </w:rPr>
        <w:t xml:space="preserve">შეიმუშავა, არის სელექტიური კონტრაქტირება. </w:t>
      </w:r>
    </w:p>
    <w:p w:rsidR="002C17D9" w:rsidRDefault="00EA66B3" w:rsidP="00130ED7">
      <w:pPr>
        <w:jc w:val="both"/>
        <w:rPr>
          <w:rFonts w:ascii="Sylfaen" w:hAnsi="Sylfaen"/>
          <w:lang w:val="ka-GE"/>
        </w:rPr>
      </w:pPr>
      <w:r w:rsidRPr="00EA66B3">
        <w:rPr>
          <w:rFonts w:ascii="Sylfaen" w:hAnsi="Sylfaen"/>
          <w:lang w:val="ka-GE"/>
        </w:rPr>
        <w:t>სელექცია  შემდეგი კრიტერიუმებით</w:t>
      </w:r>
      <w:r w:rsidR="00745372">
        <w:rPr>
          <w:rFonts w:ascii="Sylfaen" w:hAnsi="Sylfaen"/>
          <w:lang w:val="ka-GE"/>
        </w:rPr>
        <w:t xml:space="preserve"> </w:t>
      </w:r>
      <w:r w:rsidR="00745372" w:rsidRPr="00EA66B3">
        <w:rPr>
          <w:rFonts w:ascii="Sylfaen" w:hAnsi="Sylfaen"/>
          <w:lang w:val="ka-GE"/>
        </w:rPr>
        <w:t>განხორციელდება</w:t>
      </w:r>
      <w:r w:rsidRPr="00EA66B3">
        <w:rPr>
          <w:rFonts w:ascii="Sylfaen" w:hAnsi="Sylfaen"/>
          <w:lang w:val="ka-GE"/>
        </w:rPr>
        <w:t xml:space="preserve">: </w:t>
      </w:r>
    </w:p>
    <w:p w:rsidR="002C17D9" w:rsidRDefault="00EA66B3" w:rsidP="005708A5">
      <w:pPr>
        <w:pStyle w:val="ListParagraph"/>
        <w:numPr>
          <w:ilvl w:val="0"/>
          <w:numId w:val="15"/>
        </w:numPr>
        <w:jc w:val="both"/>
        <w:rPr>
          <w:rFonts w:ascii="Sylfaen" w:hAnsi="Sylfaen"/>
          <w:lang w:val="ka-GE"/>
        </w:rPr>
      </w:pPr>
      <w:r w:rsidRPr="002C17D9">
        <w:rPr>
          <w:rFonts w:ascii="Sylfaen" w:hAnsi="Sylfaen"/>
          <w:lang w:val="ka-GE"/>
        </w:rPr>
        <w:t xml:space="preserve">სერვისების მოცვა  </w:t>
      </w:r>
    </w:p>
    <w:p w:rsidR="002C17D9" w:rsidRDefault="00EA66B3" w:rsidP="005708A5">
      <w:pPr>
        <w:pStyle w:val="ListParagraph"/>
        <w:numPr>
          <w:ilvl w:val="0"/>
          <w:numId w:val="15"/>
        </w:numPr>
        <w:jc w:val="both"/>
        <w:rPr>
          <w:rFonts w:ascii="Sylfaen" w:hAnsi="Sylfaen"/>
          <w:lang w:val="ka-GE"/>
        </w:rPr>
      </w:pPr>
      <w:r w:rsidRPr="002C17D9">
        <w:rPr>
          <w:rFonts w:ascii="Sylfaen" w:hAnsi="Sylfaen"/>
          <w:lang w:val="ka-GE"/>
        </w:rPr>
        <w:t>სერვისების ხარისხი</w:t>
      </w:r>
    </w:p>
    <w:p w:rsidR="002C17D9" w:rsidRDefault="00EA66B3" w:rsidP="005708A5">
      <w:pPr>
        <w:pStyle w:val="ListParagraph"/>
        <w:numPr>
          <w:ilvl w:val="0"/>
          <w:numId w:val="15"/>
        </w:numPr>
        <w:jc w:val="both"/>
        <w:rPr>
          <w:rFonts w:ascii="Sylfaen" w:hAnsi="Sylfaen"/>
          <w:lang w:val="ka-GE"/>
        </w:rPr>
      </w:pPr>
      <w:r w:rsidRPr="002C17D9">
        <w:rPr>
          <w:rFonts w:ascii="Sylfaen" w:hAnsi="Sylfaen"/>
          <w:lang w:val="ka-GE"/>
        </w:rPr>
        <w:t xml:space="preserve">სერვისების მოცულობა </w:t>
      </w:r>
    </w:p>
    <w:p w:rsidR="002C17D9" w:rsidRDefault="00EA66B3" w:rsidP="005708A5">
      <w:pPr>
        <w:pStyle w:val="ListParagraph"/>
        <w:numPr>
          <w:ilvl w:val="0"/>
          <w:numId w:val="15"/>
        </w:numPr>
        <w:jc w:val="both"/>
        <w:rPr>
          <w:rFonts w:ascii="Sylfaen" w:hAnsi="Sylfaen"/>
          <w:lang w:val="ka-GE"/>
        </w:rPr>
      </w:pPr>
      <w:r w:rsidRPr="002C17D9">
        <w:rPr>
          <w:rFonts w:ascii="Sylfaen" w:hAnsi="Sylfaen"/>
          <w:lang w:val="ka-GE"/>
        </w:rPr>
        <w:t xml:space="preserve">ფინანსური გამჭვირვალობა  </w:t>
      </w:r>
    </w:p>
    <w:p w:rsidR="002C17D9" w:rsidRDefault="00EA66B3" w:rsidP="005708A5">
      <w:pPr>
        <w:pStyle w:val="ListParagraph"/>
        <w:numPr>
          <w:ilvl w:val="0"/>
          <w:numId w:val="15"/>
        </w:numPr>
        <w:jc w:val="both"/>
        <w:rPr>
          <w:rFonts w:ascii="Sylfaen" w:hAnsi="Sylfaen"/>
          <w:lang w:val="ka-GE"/>
        </w:rPr>
      </w:pPr>
      <w:r w:rsidRPr="002C17D9">
        <w:rPr>
          <w:rFonts w:ascii="Sylfaen" w:hAnsi="Sylfaen"/>
          <w:lang w:val="ka-GE"/>
        </w:rPr>
        <w:t>საჯარიმო სანქციებზე „დამყოლობა</w:t>
      </w:r>
      <w:r w:rsidR="002C17D9">
        <w:rPr>
          <w:rFonts w:ascii="Sylfaen" w:hAnsi="Sylfaen"/>
          <w:lang w:val="ka-GE"/>
        </w:rPr>
        <w:t>“</w:t>
      </w:r>
      <w:r w:rsidRPr="002C17D9">
        <w:rPr>
          <w:rFonts w:ascii="Sylfaen" w:hAnsi="Sylfaen"/>
          <w:lang w:val="ka-GE"/>
        </w:rPr>
        <w:t xml:space="preserve"> </w:t>
      </w:r>
    </w:p>
    <w:p w:rsidR="00EA66B3" w:rsidRPr="002C17D9" w:rsidRDefault="002C17D9" w:rsidP="002C17D9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შემუშავებული</w:t>
      </w:r>
      <w:r>
        <w:rPr>
          <w:rFonts w:ascii="Sylfaen" w:hAnsi="Sylfaen"/>
          <w:lang w:val="ka-GE"/>
        </w:rPr>
        <w:t xml:space="preserve"> </w:t>
      </w:r>
      <w:r w:rsidR="00EA66B3" w:rsidRPr="002C17D9">
        <w:rPr>
          <w:rFonts w:ascii="Sylfaen" w:hAnsi="Sylfaen"/>
          <w:lang w:val="ka-GE"/>
        </w:rPr>
        <w:t xml:space="preserve">კრიტერიუმები, კონტრაქტის </w:t>
      </w:r>
      <w:r>
        <w:rPr>
          <w:rFonts w:ascii="Sylfaen" w:hAnsi="Sylfaen"/>
          <w:lang w:val="ka-GE"/>
        </w:rPr>
        <w:t>ტიპ</w:t>
      </w:r>
      <w:r w:rsidR="00EA66B3" w:rsidRPr="002C17D9">
        <w:rPr>
          <w:rFonts w:ascii="Sylfaen" w:hAnsi="Sylfaen"/>
          <w:lang w:val="ka-GE"/>
        </w:rPr>
        <w:t xml:space="preserve">ური ფორმა, სადაც ასევე გათვალისწინებულია მომსახურების ხარისხის შეფასების ინდიკატორები, რომელთა შესრულება </w:t>
      </w:r>
      <w:r>
        <w:rPr>
          <w:rFonts w:ascii="Sylfaen" w:hAnsi="Sylfaen"/>
          <w:lang w:val="ka-GE"/>
        </w:rPr>
        <w:t>საყოველთაო ჯანდაცვის პროგრამაში ჩართულობას განსაზრვრავს</w:t>
      </w:r>
      <w:r w:rsidR="00EA66B3" w:rsidRPr="002C17D9">
        <w:rPr>
          <w:rFonts w:ascii="Sylfaen" w:hAnsi="Sylfaen"/>
          <w:lang w:val="ka-GE"/>
        </w:rPr>
        <w:t xml:space="preserve">.  </w:t>
      </w:r>
    </w:p>
    <w:p w:rsidR="00EA66B3" w:rsidRDefault="00EA66B3" w:rsidP="00130ED7">
      <w:pPr>
        <w:jc w:val="both"/>
        <w:rPr>
          <w:rFonts w:ascii="Sylfaen" w:hAnsi="Sylfaen"/>
          <w:lang w:val="ka-GE"/>
        </w:rPr>
      </w:pPr>
      <w:r w:rsidRPr="00EA66B3">
        <w:rPr>
          <w:rFonts w:ascii="Sylfaen" w:hAnsi="Sylfaen"/>
          <w:lang w:val="ka-GE"/>
        </w:rPr>
        <w:t>მიმდინარე წლის პირველი მარტიდან</w:t>
      </w:r>
      <w:r w:rsidR="002C17D9">
        <w:rPr>
          <w:rFonts w:ascii="Sylfaen" w:hAnsi="Sylfaen"/>
          <w:lang w:val="ka-GE"/>
        </w:rPr>
        <w:t>,</w:t>
      </w:r>
      <w:r w:rsidRPr="00EA66B3">
        <w:rPr>
          <w:rFonts w:ascii="Sylfaen" w:hAnsi="Sylfaen"/>
          <w:lang w:val="ka-GE"/>
        </w:rPr>
        <w:t xml:space="preserve"> </w:t>
      </w:r>
      <w:r w:rsidR="002C17D9" w:rsidRPr="00EA66B3">
        <w:rPr>
          <w:rFonts w:ascii="Sylfaen" w:hAnsi="Sylfaen"/>
          <w:lang w:val="ka-GE"/>
        </w:rPr>
        <w:t>სელექტიური კონტრაქტირება</w:t>
      </w:r>
      <w:r w:rsidR="002C17D9">
        <w:rPr>
          <w:rFonts w:ascii="Sylfaen" w:hAnsi="Sylfaen"/>
          <w:lang w:val="ka-GE"/>
        </w:rPr>
        <w:t xml:space="preserve"> დედათა და ბავშვთა მოვლის დაწესებულებებში</w:t>
      </w:r>
      <w:r w:rsidRPr="00EA66B3">
        <w:rPr>
          <w:rFonts w:ascii="Sylfaen" w:hAnsi="Sylfaen"/>
          <w:lang w:val="ka-GE"/>
        </w:rPr>
        <w:t xml:space="preserve"> </w:t>
      </w:r>
      <w:r w:rsidR="002C17D9" w:rsidRPr="00EA66B3">
        <w:rPr>
          <w:rFonts w:ascii="Sylfaen" w:hAnsi="Sylfaen"/>
          <w:lang w:val="ka-GE"/>
        </w:rPr>
        <w:t>დაიწყო</w:t>
      </w:r>
      <w:r w:rsidR="002C17D9">
        <w:rPr>
          <w:rFonts w:ascii="Sylfaen" w:hAnsi="Sylfaen"/>
          <w:lang w:val="ka-GE"/>
        </w:rPr>
        <w:t>. ცვლილებები</w:t>
      </w:r>
      <w:r w:rsidRPr="00EA66B3">
        <w:rPr>
          <w:rFonts w:ascii="Sylfaen" w:hAnsi="Sylfaen"/>
          <w:lang w:val="ka-GE"/>
        </w:rPr>
        <w:t xml:space="preserve"> შევიდა დაწესებულებათა სანებართვო პირობებში  და საყოველთაო ჯანდაცვის პროგრამაში</w:t>
      </w:r>
      <w:r w:rsidR="002C17D9">
        <w:rPr>
          <w:rFonts w:ascii="Sylfaen" w:hAnsi="Sylfaen"/>
          <w:lang w:val="ka-GE"/>
        </w:rPr>
        <w:t>ც.</w:t>
      </w:r>
      <w:r w:rsidRPr="00EA66B3">
        <w:rPr>
          <w:rFonts w:ascii="Sylfaen" w:hAnsi="Sylfaen"/>
          <w:lang w:val="ka-GE"/>
        </w:rPr>
        <w:t xml:space="preserve"> </w:t>
      </w:r>
      <w:r w:rsidR="002C17D9">
        <w:rPr>
          <w:rFonts w:ascii="Sylfaen" w:hAnsi="Sylfaen"/>
          <w:lang w:val="ka-GE"/>
        </w:rPr>
        <w:t>რეფორმა</w:t>
      </w:r>
      <w:r w:rsidRPr="00EA66B3">
        <w:rPr>
          <w:rFonts w:ascii="Sylfaen" w:hAnsi="Sylfaen"/>
          <w:lang w:val="ka-GE"/>
        </w:rPr>
        <w:t xml:space="preserve"> კრძალავს ფრაგმენტირებული სერვისების მქონე დაწესებულებების მონაწილეობას </w:t>
      </w:r>
      <w:r w:rsidR="00A77F03">
        <w:rPr>
          <w:rFonts w:ascii="Sylfaen" w:hAnsi="Sylfaen"/>
          <w:lang w:val="ka-GE"/>
        </w:rPr>
        <w:t>საყოველთ</w:t>
      </w:r>
      <w:r w:rsidR="002C17D9">
        <w:rPr>
          <w:rFonts w:ascii="Sylfaen" w:hAnsi="Sylfaen"/>
          <w:lang w:val="ka-GE"/>
        </w:rPr>
        <w:t>აო ჯანდაცვის პროგრამაში.</w:t>
      </w:r>
      <w:r w:rsidRPr="00EA66B3">
        <w:rPr>
          <w:rFonts w:ascii="Sylfaen" w:hAnsi="Sylfaen"/>
          <w:lang w:val="ka-GE"/>
        </w:rPr>
        <w:t xml:space="preserve">  </w:t>
      </w:r>
      <w:r w:rsidR="002C17D9">
        <w:rPr>
          <w:rFonts w:ascii="Sylfaen" w:hAnsi="Sylfaen"/>
          <w:lang w:val="ka-GE"/>
        </w:rPr>
        <w:t>ცვლილებები</w:t>
      </w:r>
      <w:r w:rsidRPr="00EA66B3">
        <w:rPr>
          <w:rFonts w:ascii="Sylfaen" w:hAnsi="Sylfaen"/>
          <w:lang w:val="ka-GE"/>
        </w:rPr>
        <w:t xml:space="preserve"> საშუალებას იძლევა ხარჯები გახდეს უფრო პროგნოზირებადი და თავიდან იქნეს აცილებული </w:t>
      </w:r>
      <w:r w:rsidR="002C17D9">
        <w:rPr>
          <w:rFonts w:ascii="Sylfaen" w:hAnsi="Sylfaen"/>
          <w:lang w:val="ka-GE"/>
        </w:rPr>
        <w:t>ზოგიერთი</w:t>
      </w:r>
      <w:r w:rsidRPr="00EA66B3">
        <w:rPr>
          <w:rFonts w:ascii="Sylfaen" w:hAnsi="Sylfaen"/>
          <w:lang w:val="ka-GE"/>
        </w:rPr>
        <w:t xml:space="preserve"> პროვაიდერის მიერ </w:t>
      </w:r>
      <w:r>
        <w:rPr>
          <w:rFonts w:ascii="Sylfaen" w:hAnsi="Sylfaen"/>
          <w:lang w:val="ka-GE"/>
        </w:rPr>
        <w:t>შემთ</w:t>
      </w:r>
      <w:r w:rsidRPr="00EA66B3">
        <w:rPr>
          <w:rFonts w:ascii="Sylfaen" w:hAnsi="Sylfaen"/>
          <w:lang w:val="ka-GE"/>
        </w:rPr>
        <w:t>ხვევების განზრახ გაურგენტულება.</w:t>
      </w:r>
      <w:r>
        <w:rPr>
          <w:rFonts w:ascii="Sylfaen" w:hAnsi="Sylfaen"/>
          <w:lang w:val="ka-GE"/>
        </w:rPr>
        <w:t xml:space="preserve"> </w:t>
      </w:r>
      <w:r w:rsidR="00162059" w:rsidRPr="00162059">
        <w:rPr>
          <w:rFonts w:ascii="Sylfaen" w:hAnsi="Sylfaen"/>
          <w:lang w:val="ka-GE"/>
        </w:rPr>
        <w:t xml:space="preserve">გეგმიური ამბულატორიული სერვისების მიმწოდებლები შეძლებენ მხოლოდ გადაუდებელი ქირურგიული სერვისების (მცირე ინვაზიური ოპერაციები) </w:t>
      </w:r>
      <w:r w:rsidR="002C17D9">
        <w:rPr>
          <w:rFonts w:ascii="Sylfaen" w:hAnsi="Sylfaen"/>
          <w:lang w:val="ka-GE"/>
        </w:rPr>
        <w:t>შესრულებას</w:t>
      </w:r>
      <w:r w:rsidR="00A77F03">
        <w:rPr>
          <w:rFonts w:ascii="Sylfaen" w:hAnsi="Sylfaen"/>
          <w:lang w:val="ka-GE"/>
        </w:rPr>
        <w:t>.</w:t>
      </w:r>
      <w:r w:rsidR="00162059" w:rsidRPr="00162059">
        <w:rPr>
          <w:rFonts w:ascii="Sylfaen" w:hAnsi="Sylfaen"/>
          <w:lang w:val="ka-GE"/>
        </w:rPr>
        <w:t xml:space="preserve"> სხვა გადაუდებელი ამბულატორიული სერვისების მიმწოდებლად ისინი აღარ განიხილებიან. აღნიშნული შეამცირებს პჯდ-დან სტაციონარებში გადაუდებელი ამბულატორიული სერვისებისთვის რეფერალს</w:t>
      </w:r>
      <w:r w:rsidR="00162059">
        <w:rPr>
          <w:rFonts w:ascii="Sylfaen" w:hAnsi="Sylfaen"/>
          <w:lang w:val="ka-GE"/>
        </w:rPr>
        <w:t xml:space="preserve">. </w:t>
      </w:r>
    </w:p>
    <w:p w:rsidR="00162059" w:rsidRDefault="00162059" w:rsidP="00130ED7">
      <w:pPr>
        <w:jc w:val="both"/>
        <w:rPr>
          <w:rFonts w:ascii="Sylfaen" w:hAnsi="Sylfaen"/>
          <w:iCs/>
          <w:lang w:val="ka-GE"/>
        </w:rPr>
      </w:pPr>
      <w:r>
        <w:rPr>
          <w:rFonts w:ascii="Sylfaen" w:hAnsi="Sylfaen"/>
          <w:lang w:val="ka-GE"/>
        </w:rPr>
        <w:t>მომსახურების ხარისხის გაუმჯობესების მიმართულებით ერთ-ერთი უმნიშვნელოვანესი პროექტი იყო პერინატალური სერვისების  რეგიონალიზაცია</w:t>
      </w:r>
      <w:r w:rsidR="00A77F03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 რომელიც </w:t>
      </w:r>
      <w:r w:rsidR="00A77F03">
        <w:rPr>
          <w:rFonts w:ascii="Sylfaen" w:hAnsi="Sylfaen"/>
          <w:lang w:val="ka-GE"/>
        </w:rPr>
        <w:t>მთელი საქართველოს მასშტაბით განხორციელდა.</w:t>
      </w:r>
      <w:r>
        <w:rPr>
          <w:rFonts w:ascii="Sylfaen" w:hAnsi="Sylfaen"/>
          <w:lang w:val="ka-GE"/>
        </w:rPr>
        <w:t xml:space="preserve"> პროექტის </w:t>
      </w:r>
      <w:r w:rsidR="00A77F03">
        <w:rPr>
          <w:rFonts w:ascii="Sylfaen" w:hAnsi="Sylfaen"/>
          <w:lang w:val="ka-GE"/>
        </w:rPr>
        <w:t>მიზანს</w:t>
      </w:r>
      <w:r w:rsidRPr="00162059">
        <w:rPr>
          <w:rFonts w:ascii="Sylfaen" w:hAnsi="Sylfaen"/>
          <w:lang w:val="ka-GE"/>
        </w:rPr>
        <w:t xml:space="preserve"> </w:t>
      </w:r>
      <w:r w:rsidRPr="00162059">
        <w:rPr>
          <w:rFonts w:ascii="Sylfaen" w:hAnsi="Sylfaen"/>
          <w:iCs/>
          <w:lang w:val="ka-GE"/>
        </w:rPr>
        <w:t>ორსული ქალებისათვის</w:t>
      </w:r>
      <w:r w:rsidR="00A77F03">
        <w:rPr>
          <w:rFonts w:ascii="Sylfaen" w:hAnsi="Sylfaen"/>
          <w:iCs/>
          <w:lang w:val="ka-GE"/>
        </w:rPr>
        <w:t xml:space="preserve">ა და მათი </w:t>
      </w:r>
      <w:r w:rsidR="00A77F03">
        <w:rPr>
          <w:rFonts w:ascii="Sylfaen" w:hAnsi="Sylfaen"/>
          <w:iCs/>
          <w:lang w:val="ka-GE"/>
        </w:rPr>
        <w:lastRenderedPageBreak/>
        <w:t>ახალშობილისთვის</w:t>
      </w:r>
      <w:r w:rsidRPr="00162059">
        <w:rPr>
          <w:rFonts w:ascii="Sylfaen" w:hAnsi="Sylfaen"/>
          <w:iCs/>
          <w:lang w:val="ka-GE"/>
        </w:rPr>
        <w:t xml:space="preserve">  რისკების შესაბამისი ანტენატალური მოვლის სამედიცინო სერვისების მიწოდება</w:t>
      </w:r>
      <w:r w:rsidR="00A77F03">
        <w:rPr>
          <w:rFonts w:ascii="Sylfaen" w:hAnsi="Sylfaen"/>
          <w:iCs/>
          <w:lang w:val="ka-GE"/>
        </w:rPr>
        <w:t xml:space="preserve"> და </w:t>
      </w:r>
      <w:r w:rsidRPr="00162059">
        <w:rPr>
          <w:rFonts w:ascii="Sylfaen" w:hAnsi="Sylfaen"/>
          <w:iCs/>
          <w:lang w:val="ka-GE"/>
        </w:rPr>
        <w:t xml:space="preserve">შედეგად ორსულობის პერიოდის გართულებების </w:t>
      </w:r>
      <w:r w:rsidR="00A77F03">
        <w:rPr>
          <w:rFonts w:ascii="Sylfaen" w:hAnsi="Sylfaen"/>
          <w:iCs/>
          <w:lang w:val="ka-GE"/>
        </w:rPr>
        <w:t>მართვა წარმოადგენს.</w:t>
      </w:r>
    </w:p>
    <w:p w:rsidR="00162059" w:rsidRDefault="00162059" w:rsidP="00130ED7">
      <w:pPr>
        <w:jc w:val="both"/>
        <w:rPr>
          <w:rFonts w:ascii="Sylfaen" w:hAnsi="Sylfaen"/>
          <w:lang w:val="ka-GE"/>
        </w:rPr>
      </w:pPr>
      <w:r w:rsidRPr="00162059">
        <w:rPr>
          <w:rFonts w:ascii="Sylfaen" w:hAnsi="Sylfaen"/>
          <w:lang w:val="ka-GE"/>
        </w:rPr>
        <w:t xml:space="preserve">2016 წლიდან საყოველთაო ჯანდაცვის პროგრამაში მონაწილე სტაციონარულ სამედიცინო დაწესებულებებში  ინფექციების კონტროლის სისტემის ორეტაპიანი მონიტორინგი </w:t>
      </w:r>
      <w:r w:rsidR="00835698" w:rsidRPr="00162059">
        <w:rPr>
          <w:rFonts w:ascii="Sylfaen" w:hAnsi="Sylfaen"/>
          <w:lang w:val="ka-GE"/>
        </w:rPr>
        <w:t>ხორციელდება</w:t>
      </w:r>
      <w:r w:rsidR="00835698">
        <w:rPr>
          <w:rFonts w:ascii="Sylfaen" w:hAnsi="Sylfaen"/>
          <w:lang w:val="ka-GE"/>
        </w:rPr>
        <w:t xml:space="preserve">. </w:t>
      </w:r>
      <w:r w:rsidRPr="00162059">
        <w:rPr>
          <w:rFonts w:ascii="Sylfaen" w:hAnsi="Sylfaen"/>
          <w:lang w:val="ka-GE"/>
        </w:rPr>
        <w:t>(მონიტორინგის ორივე ეტაპი დასრულებულია ქ. თბილისის დიდ</w:t>
      </w:r>
      <w:r>
        <w:rPr>
          <w:rFonts w:ascii="Sylfaen" w:hAnsi="Sylfaen"/>
          <w:lang w:val="ka-GE"/>
        </w:rPr>
        <w:t xml:space="preserve">, </w:t>
      </w:r>
      <w:r w:rsidRPr="00162059">
        <w:rPr>
          <w:rFonts w:ascii="Sylfaen" w:hAnsi="Sylfaen"/>
          <w:lang w:val="ka-GE"/>
        </w:rPr>
        <w:t>მცირე სიმძლავრის</w:t>
      </w:r>
      <w:r>
        <w:rPr>
          <w:rFonts w:ascii="Sylfaen" w:hAnsi="Sylfaen"/>
          <w:lang w:val="ka-GE"/>
        </w:rPr>
        <w:t>, კარდიოქირურგიულ</w:t>
      </w:r>
      <w:r w:rsidRPr="00162059">
        <w:rPr>
          <w:rFonts w:ascii="Sylfaen" w:hAnsi="Sylfaen"/>
          <w:lang w:val="ka-GE"/>
        </w:rPr>
        <w:t xml:space="preserve"> და მე-3 დონის პერინატალური სერვისის მიმწოდებელ სტაციონარულ დაწესებულებებში, ასევე</w:t>
      </w:r>
      <w:r>
        <w:rPr>
          <w:rFonts w:ascii="Sylfaen" w:hAnsi="Sylfaen"/>
          <w:lang w:val="ka-GE"/>
        </w:rPr>
        <w:t xml:space="preserve"> </w:t>
      </w:r>
      <w:r w:rsidRPr="00162059">
        <w:rPr>
          <w:rFonts w:ascii="Sylfaen" w:hAnsi="Sylfaen"/>
          <w:lang w:val="ka-GE"/>
        </w:rPr>
        <w:t>ქუთაისისა</w:t>
      </w:r>
      <w:r>
        <w:rPr>
          <w:rFonts w:ascii="Sylfaen" w:hAnsi="Sylfaen"/>
          <w:lang w:val="ka-GE"/>
        </w:rPr>
        <w:t xml:space="preserve">  </w:t>
      </w:r>
      <w:r w:rsidRPr="00162059">
        <w:rPr>
          <w:rFonts w:ascii="Sylfaen" w:hAnsi="Sylfaen"/>
          <w:lang w:val="ka-GE"/>
        </w:rPr>
        <w:t xml:space="preserve">ბათუმის </w:t>
      </w:r>
      <w:r>
        <w:rPr>
          <w:rFonts w:ascii="Sylfaen" w:hAnsi="Sylfaen"/>
          <w:lang w:val="ka-GE"/>
        </w:rPr>
        <w:t xml:space="preserve"> </w:t>
      </w:r>
      <w:r w:rsidRPr="00162059">
        <w:rPr>
          <w:rFonts w:ascii="Sylfaen" w:hAnsi="Sylfaen"/>
          <w:lang w:val="ka-GE"/>
        </w:rPr>
        <w:t>სტაციონარულ დაწესებულებებში - სულ 66 დაწესებულებაში)</w:t>
      </w:r>
      <w:r>
        <w:rPr>
          <w:rFonts w:ascii="Sylfaen" w:hAnsi="Sylfaen"/>
          <w:lang w:val="ka-GE"/>
        </w:rPr>
        <w:t>. მონიტორინგის პირველ ეტაპზე და</w:t>
      </w:r>
      <w:r w:rsidR="001679C2">
        <w:rPr>
          <w:rFonts w:ascii="Sylfaen" w:hAnsi="Sylfaen"/>
          <w:lang w:val="ka-GE"/>
        </w:rPr>
        <w:t>წესებულებებში დარღვევების გამოვლენის შემთხვევაში  რეკომენდაციები</w:t>
      </w:r>
      <w:r w:rsidR="00835698">
        <w:rPr>
          <w:rFonts w:ascii="Sylfaen" w:hAnsi="Sylfaen"/>
          <w:lang w:val="ka-GE"/>
        </w:rPr>
        <w:t xml:space="preserve"> გაიცემა</w:t>
      </w:r>
      <w:r w:rsidR="001679C2">
        <w:rPr>
          <w:rFonts w:ascii="Sylfaen" w:hAnsi="Sylfaen"/>
          <w:lang w:val="ka-GE"/>
        </w:rPr>
        <w:t xml:space="preserve">. მონიტორინგის მეორე ეტაპზე </w:t>
      </w:r>
      <w:r w:rsidR="00835698">
        <w:rPr>
          <w:rFonts w:ascii="Sylfaen" w:hAnsi="Sylfaen"/>
          <w:lang w:val="ka-GE"/>
        </w:rPr>
        <w:t xml:space="preserve">კი </w:t>
      </w:r>
      <w:r w:rsidR="001679C2">
        <w:rPr>
          <w:rFonts w:ascii="Sylfaen" w:hAnsi="Sylfaen"/>
          <w:lang w:val="ka-GE"/>
        </w:rPr>
        <w:t xml:space="preserve">დარღვევების განმეორებით აღმოჩენის შემთხვევაში დაწესებულებას უჩერდება საყოველთაო ჯანდაცვის მიმწოდებლის სტატუსი. </w:t>
      </w:r>
    </w:p>
    <w:p w:rsidR="00835698" w:rsidRPr="00835698" w:rsidRDefault="00835698" w:rsidP="00130ED7">
      <w:pPr>
        <w:jc w:val="both"/>
        <w:rPr>
          <w:rFonts w:ascii="Sylfaen" w:hAnsi="Sylfaen"/>
          <w:b/>
          <w:lang w:val="ka-GE"/>
        </w:rPr>
      </w:pPr>
      <w:r w:rsidRPr="00835698">
        <w:rPr>
          <w:rFonts w:ascii="Sylfaen" w:hAnsi="Sylfaen"/>
          <w:b/>
          <w:lang w:val="ka-GE"/>
        </w:rPr>
        <w:t>ჯარიმები</w:t>
      </w:r>
    </w:p>
    <w:p w:rsidR="001679C2" w:rsidRPr="00E9032E" w:rsidRDefault="00D15A14" w:rsidP="00130ED7">
      <w:pPr>
        <w:jc w:val="both"/>
        <w:rPr>
          <w:rFonts w:ascii="Sylfaen" w:hAnsi="Sylfaen"/>
          <w:u w:val="single"/>
        </w:rPr>
      </w:pPr>
      <w:r w:rsidRPr="00E9032E">
        <w:rPr>
          <w:rFonts w:ascii="Sylfaen" w:hAnsi="Sylfaen"/>
          <w:u w:val="single"/>
          <w:lang w:val="ka-GE"/>
        </w:rPr>
        <w:t xml:space="preserve">ძირითადი ჰოსპიტალური დარღვევები: </w:t>
      </w:r>
    </w:p>
    <w:p w:rsidR="00D15A14" w:rsidRPr="00D15A14" w:rsidRDefault="00D15A14" w:rsidP="00D15A14">
      <w:pPr>
        <w:pStyle w:val="ListParagraph"/>
        <w:numPr>
          <w:ilvl w:val="0"/>
          <w:numId w:val="19"/>
        </w:numPr>
        <w:jc w:val="both"/>
        <w:rPr>
          <w:lang w:val="ka-GE"/>
        </w:rPr>
      </w:pPr>
      <w:r w:rsidRPr="00D15A14">
        <w:rPr>
          <w:rFonts w:ascii="Sylfaen" w:hAnsi="Sylfaen"/>
          <w:lang w:val="ka-GE"/>
        </w:rPr>
        <w:t>მოსარგებლეს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თანხა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გადაახდევინეს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იმ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მომსახურებაში</w:t>
      </w:r>
      <w:r w:rsidRPr="00D15A14">
        <w:rPr>
          <w:lang w:val="ka-GE"/>
        </w:rPr>
        <w:t xml:space="preserve">, </w:t>
      </w:r>
      <w:r w:rsidRPr="00D15A14">
        <w:rPr>
          <w:rFonts w:ascii="Sylfaen" w:hAnsi="Sylfaen"/>
          <w:lang w:val="ka-GE"/>
        </w:rPr>
        <w:t>რომელიც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მთლიანად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დაფარულია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პროგრამით</w:t>
      </w:r>
      <w:r w:rsidRPr="00D15A14">
        <w:rPr>
          <w:lang w:val="ka-GE"/>
        </w:rPr>
        <w:t>.</w:t>
      </w:r>
    </w:p>
    <w:p w:rsidR="00D15A14" w:rsidRPr="00D15A14" w:rsidRDefault="00D15A14" w:rsidP="00D15A14">
      <w:pPr>
        <w:pStyle w:val="ListParagraph"/>
        <w:numPr>
          <w:ilvl w:val="0"/>
          <w:numId w:val="19"/>
        </w:numPr>
        <w:jc w:val="both"/>
        <w:rPr>
          <w:lang w:val="ka-GE"/>
        </w:rPr>
      </w:pPr>
      <w:r w:rsidRPr="00D15A14">
        <w:rPr>
          <w:rFonts w:ascii="Sylfaen" w:hAnsi="Sylfaen"/>
          <w:lang w:val="ka-GE"/>
        </w:rPr>
        <w:t>დაფიქსირდა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რეჰოსპიტალიზაცია</w:t>
      </w:r>
      <w:r w:rsidRPr="00D15A14">
        <w:rPr>
          <w:lang w:val="ka-GE"/>
        </w:rPr>
        <w:t>.</w:t>
      </w:r>
    </w:p>
    <w:p w:rsidR="00D15A14" w:rsidRPr="00D15A14" w:rsidRDefault="00D15A14" w:rsidP="00D15A14">
      <w:pPr>
        <w:pStyle w:val="ListParagraph"/>
        <w:numPr>
          <w:ilvl w:val="0"/>
          <w:numId w:val="19"/>
        </w:numPr>
        <w:jc w:val="both"/>
        <w:rPr>
          <w:lang w:val="ka-GE"/>
        </w:rPr>
      </w:pPr>
      <w:r w:rsidRPr="00D15A14">
        <w:rPr>
          <w:rFonts w:ascii="Sylfaen" w:hAnsi="Sylfaen"/>
          <w:lang w:val="ka-GE"/>
        </w:rPr>
        <w:t>არასრულად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ჩატარდა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სახელმწიფო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პროგრამით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გათვალისწინებული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მომსახურება</w:t>
      </w:r>
      <w:r w:rsidRPr="00D15A14">
        <w:rPr>
          <w:lang w:val="ka-GE"/>
        </w:rPr>
        <w:t xml:space="preserve"> (</w:t>
      </w:r>
      <w:r w:rsidRPr="00D15A14">
        <w:rPr>
          <w:rFonts w:ascii="Sylfaen" w:hAnsi="Sylfaen"/>
          <w:lang w:val="ka-GE"/>
        </w:rPr>
        <w:t>მაგ</w:t>
      </w:r>
      <w:r w:rsidRPr="00D15A14">
        <w:rPr>
          <w:lang w:val="ka-GE"/>
        </w:rPr>
        <w:t xml:space="preserve">: </w:t>
      </w:r>
      <w:r w:rsidRPr="00D15A14">
        <w:rPr>
          <w:rFonts w:ascii="Sylfaen" w:hAnsi="Sylfaen"/>
          <w:lang w:val="ka-GE"/>
        </w:rPr>
        <w:t>ვერ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იქნა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წარმოდგენილი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ჰისტომორფოლოგიური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კვლევის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პასუხები</w:t>
      </w:r>
      <w:r w:rsidRPr="00D15A14">
        <w:rPr>
          <w:lang w:val="ka-GE"/>
        </w:rPr>
        <w:t xml:space="preserve">). </w:t>
      </w:r>
      <w:r w:rsidRPr="00D15A14">
        <w:rPr>
          <w:rFonts w:ascii="Sylfaen" w:hAnsi="Sylfaen"/>
          <w:lang w:val="ka-GE"/>
        </w:rPr>
        <w:t>პაციენტის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სამედიცინო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დიაგნოზი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ან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დამძიმებულია</w:t>
      </w:r>
      <w:r w:rsidRPr="00D15A14">
        <w:rPr>
          <w:lang w:val="ka-GE"/>
        </w:rPr>
        <w:t xml:space="preserve">, </w:t>
      </w:r>
      <w:r w:rsidRPr="00D15A14">
        <w:rPr>
          <w:rFonts w:ascii="Sylfaen" w:hAnsi="Sylfaen"/>
          <w:lang w:val="ka-GE"/>
        </w:rPr>
        <w:t>ან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წარდგენილია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თანმხლები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დიაგნოზის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სახით</w:t>
      </w:r>
      <w:r w:rsidRPr="00D15A14">
        <w:rPr>
          <w:lang w:val="ka-GE"/>
        </w:rPr>
        <w:t>.</w:t>
      </w:r>
    </w:p>
    <w:p w:rsidR="00D15A14" w:rsidRPr="00D15A14" w:rsidRDefault="00D15A14" w:rsidP="00D15A14">
      <w:pPr>
        <w:pStyle w:val="ListParagraph"/>
        <w:numPr>
          <w:ilvl w:val="0"/>
          <w:numId w:val="19"/>
        </w:numPr>
        <w:jc w:val="both"/>
        <w:rPr>
          <w:lang w:val="ka-GE"/>
        </w:rPr>
      </w:pPr>
      <w:r w:rsidRPr="00D15A14">
        <w:rPr>
          <w:rFonts w:ascii="Sylfaen" w:hAnsi="Sylfaen"/>
          <w:lang w:val="ka-GE"/>
        </w:rPr>
        <w:t>მიმწოდებლების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მიერ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გაწეული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ფაქტიური</w:t>
      </w:r>
      <w:r w:rsidRPr="00D15A14">
        <w:rPr>
          <w:lang w:val="ka-GE"/>
        </w:rPr>
        <w:t>/</w:t>
      </w:r>
      <w:r w:rsidRPr="00D15A14">
        <w:rPr>
          <w:rFonts w:ascii="Sylfaen" w:hAnsi="Sylfaen"/>
          <w:lang w:val="ka-GE"/>
        </w:rPr>
        <w:t>ფაქტობრივი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ხარჯი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არ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დასტურდება</w:t>
      </w:r>
      <w:r w:rsidRPr="00D15A14">
        <w:rPr>
          <w:lang w:val="ka-GE"/>
        </w:rPr>
        <w:t xml:space="preserve">, </w:t>
      </w:r>
      <w:r w:rsidRPr="00D15A14">
        <w:rPr>
          <w:rFonts w:ascii="Sylfaen" w:hAnsi="Sylfaen"/>
          <w:lang w:val="ka-GE"/>
        </w:rPr>
        <w:t>ე</w:t>
      </w:r>
      <w:r w:rsidRPr="00D15A14">
        <w:rPr>
          <w:lang w:val="ka-GE"/>
        </w:rPr>
        <w:t>.</w:t>
      </w:r>
      <w:r w:rsidRPr="00D15A14">
        <w:rPr>
          <w:rFonts w:ascii="Sylfaen" w:hAnsi="Sylfaen"/>
          <w:lang w:val="ka-GE"/>
        </w:rPr>
        <w:t>ი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სახელმწიფო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ბიუჯეტიდან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მოთხოვნილია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ზედმეტი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თანხა</w:t>
      </w:r>
      <w:r w:rsidRPr="00D15A14">
        <w:rPr>
          <w:lang w:val="ka-GE"/>
        </w:rPr>
        <w:t>.</w:t>
      </w:r>
    </w:p>
    <w:p w:rsidR="006464C0" w:rsidRPr="00D15A14" w:rsidRDefault="00D15A14" w:rsidP="00D15A14">
      <w:pPr>
        <w:pStyle w:val="ListParagraph"/>
        <w:numPr>
          <w:ilvl w:val="0"/>
          <w:numId w:val="19"/>
        </w:numPr>
        <w:jc w:val="both"/>
        <w:rPr>
          <w:rFonts w:ascii="Sylfaen" w:hAnsi="Sylfaen"/>
        </w:rPr>
      </w:pPr>
      <w:r w:rsidRPr="00D15A14">
        <w:rPr>
          <w:rFonts w:ascii="Sylfaen" w:hAnsi="Sylfaen"/>
          <w:lang w:val="ka-GE"/>
        </w:rPr>
        <w:t>მიმწოდებლების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მიერ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სამედიცინო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შემთხვევების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რეგისტრაციის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მოდულში</w:t>
      </w:r>
      <w:r w:rsidRPr="00D15A14">
        <w:rPr>
          <w:lang w:val="ka-GE"/>
        </w:rPr>
        <w:t xml:space="preserve"> (</w:t>
      </w:r>
      <w:r w:rsidRPr="00D15A14">
        <w:rPr>
          <w:rFonts w:ascii="Sylfaen" w:hAnsi="Sylfaen"/>
          <w:lang w:val="ka-GE"/>
        </w:rPr>
        <w:t>ელექტრონული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ჯანდაცვა</w:t>
      </w:r>
      <w:r w:rsidRPr="00D15A14">
        <w:rPr>
          <w:lang w:val="ka-GE"/>
        </w:rPr>
        <w:t xml:space="preserve">) </w:t>
      </w:r>
      <w:r w:rsidRPr="00D15A14">
        <w:rPr>
          <w:rFonts w:ascii="Sylfaen" w:hAnsi="Sylfaen"/>
          <w:lang w:val="ka-GE"/>
        </w:rPr>
        <w:t>დაფიქსირებული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მონაცემები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დიაგნოზი</w:t>
      </w:r>
      <w:r w:rsidRPr="00D15A14">
        <w:rPr>
          <w:lang w:val="ka-GE"/>
        </w:rPr>
        <w:t xml:space="preserve">, </w:t>
      </w:r>
      <w:r w:rsidRPr="00D15A14">
        <w:rPr>
          <w:rFonts w:ascii="Sylfaen" w:hAnsi="Sylfaen"/>
          <w:lang w:val="ka-GE"/>
        </w:rPr>
        <w:t>ჩარევა</w:t>
      </w:r>
      <w:r w:rsidRPr="00D15A14">
        <w:rPr>
          <w:lang w:val="ka-GE"/>
        </w:rPr>
        <w:t xml:space="preserve">, </w:t>
      </w:r>
      <w:r w:rsidRPr="00D15A14">
        <w:rPr>
          <w:rFonts w:ascii="Sylfaen" w:hAnsi="Sylfaen"/>
          <w:lang w:val="ka-GE"/>
        </w:rPr>
        <w:t>დაზუსტება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სამედიცინო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დოკუმენტაციით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არ</w:t>
      </w:r>
      <w:r w:rsidRPr="00D15A14">
        <w:rPr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დასტურდება</w:t>
      </w:r>
      <w:r w:rsidRPr="00D15A14">
        <w:rPr>
          <w:lang w:val="ka-GE"/>
        </w:rPr>
        <w:t>.</w:t>
      </w:r>
    </w:p>
    <w:p w:rsidR="00D15A14" w:rsidRPr="00E9032E" w:rsidRDefault="00D15A14" w:rsidP="00D15A14">
      <w:pPr>
        <w:ind w:left="360"/>
        <w:jc w:val="both"/>
        <w:rPr>
          <w:rFonts w:ascii="Sylfaen" w:hAnsi="Sylfaen"/>
          <w:u w:val="single"/>
          <w:lang w:val="ka-GE"/>
        </w:rPr>
      </w:pPr>
      <w:r w:rsidRPr="00E9032E">
        <w:rPr>
          <w:rFonts w:ascii="Sylfaen" w:hAnsi="Sylfaen"/>
          <w:u w:val="single"/>
          <w:lang w:val="ka-GE"/>
        </w:rPr>
        <w:t>ძირითადი ამბულატორიული დარღვევები:</w:t>
      </w:r>
    </w:p>
    <w:p w:rsidR="00000000" w:rsidRPr="00D15A14" w:rsidRDefault="00761BDE" w:rsidP="00D15A14">
      <w:pPr>
        <w:numPr>
          <w:ilvl w:val="0"/>
          <w:numId w:val="21"/>
        </w:numPr>
        <w:jc w:val="both"/>
        <w:rPr>
          <w:rFonts w:ascii="Sylfaen" w:hAnsi="Sylfaen"/>
        </w:rPr>
      </w:pPr>
      <w:r w:rsidRPr="00D15A14">
        <w:rPr>
          <w:rFonts w:ascii="Sylfaen" w:hAnsi="Sylfaen"/>
          <w:lang w:val="ka-GE"/>
        </w:rPr>
        <w:t>ვერ</w:t>
      </w:r>
      <w:r w:rsidRPr="00D15A14">
        <w:rPr>
          <w:rFonts w:ascii="Sylfaen" w:hAnsi="Sylfaen"/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წარმოადგინეს</w:t>
      </w:r>
      <w:r w:rsidRPr="00D15A14">
        <w:rPr>
          <w:rFonts w:ascii="Sylfaen" w:hAnsi="Sylfaen"/>
          <w:lang w:val="ka-GE"/>
        </w:rPr>
        <w:t xml:space="preserve">,  </w:t>
      </w:r>
      <w:r w:rsidRPr="00D15A14">
        <w:rPr>
          <w:rFonts w:ascii="Sylfaen" w:hAnsi="Sylfaen"/>
          <w:lang w:val="ka-GE"/>
        </w:rPr>
        <w:t>რეგისტრირებული</w:t>
      </w:r>
      <w:r w:rsidRPr="00D15A14">
        <w:rPr>
          <w:rFonts w:ascii="Sylfaen" w:hAnsi="Sylfaen"/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ბენეფიციარების</w:t>
      </w:r>
      <w:r w:rsidRPr="00D15A14">
        <w:rPr>
          <w:rFonts w:ascii="Sylfaen" w:hAnsi="Sylfaen"/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თანხმობის</w:t>
      </w:r>
      <w:r w:rsidRPr="00D15A14">
        <w:rPr>
          <w:rFonts w:ascii="Sylfaen" w:hAnsi="Sylfaen"/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ფორმები</w:t>
      </w:r>
      <w:r w:rsidRPr="00D15A14">
        <w:rPr>
          <w:rFonts w:ascii="Sylfaen" w:hAnsi="Sylfaen"/>
          <w:lang w:val="ka-GE"/>
        </w:rPr>
        <w:t>.</w:t>
      </w:r>
    </w:p>
    <w:p w:rsidR="00000000" w:rsidRPr="00D15A14" w:rsidRDefault="00D15A14" w:rsidP="00D15A14">
      <w:pPr>
        <w:numPr>
          <w:ilvl w:val="0"/>
          <w:numId w:val="21"/>
        </w:numPr>
        <w:tabs>
          <w:tab w:val="clear" w:pos="720"/>
          <w:tab w:val="num" w:pos="540"/>
        </w:tabs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</w:t>
      </w:r>
      <w:r w:rsidR="00761BDE" w:rsidRPr="00D15A14">
        <w:rPr>
          <w:rFonts w:ascii="Sylfaen" w:hAnsi="Sylfaen"/>
          <w:lang w:val="ka-GE"/>
        </w:rPr>
        <w:t>თანხმობის</w:t>
      </w:r>
      <w:r w:rsidR="00761BDE" w:rsidRPr="00D15A14">
        <w:rPr>
          <w:rFonts w:ascii="Sylfaen" w:hAnsi="Sylfaen"/>
          <w:lang w:val="ka-GE"/>
        </w:rPr>
        <w:t xml:space="preserve"> </w:t>
      </w:r>
      <w:r w:rsidR="00761BDE" w:rsidRPr="00D15A14">
        <w:rPr>
          <w:rFonts w:ascii="Sylfaen" w:hAnsi="Sylfaen"/>
          <w:lang w:val="ka-GE"/>
        </w:rPr>
        <w:t>ფურცლებზ</w:t>
      </w:r>
      <w:bookmarkStart w:id="0" w:name="_GoBack"/>
      <w:bookmarkEnd w:id="0"/>
      <w:r w:rsidR="00761BDE" w:rsidRPr="00D15A14">
        <w:rPr>
          <w:rFonts w:ascii="Sylfaen" w:hAnsi="Sylfaen"/>
          <w:lang w:val="ka-GE"/>
        </w:rPr>
        <w:t>ე</w:t>
      </w:r>
      <w:r w:rsidR="00761BDE" w:rsidRPr="00D15A14">
        <w:rPr>
          <w:rFonts w:ascii="Sylfaen" w:hAnsi="Sylfaen"/>
          <w:lang w:val="ka-GE"/>
        </w:rPr>
        <w:t xml:space="preserve"> </w:t>
      </w:r>
      <w:r w:rsidR="00761BDE" w:rsidRPr="00D15A14">
        <w:rPr>
          <w:rFonts w:ascii="Sylfaen" w:hAnsi="Sylfaen"/>
          <w:lang w:val="ka-GE"/>
        </w:rPr>
        <w:t>არ</w:t>
      </w:r>
      <w:r w:rsidR="00761BDE" w:rsidRPr="00D15A14">
        <w:rPr>
          <w:rFonts w:ascii="Sylfaen" w:hAnsi="Sylfaen"/>
          <w:lang w:val="ka-GE"/>
        </w:rPr>
        <w:t xml:space="preserve"> </w:t>
      </w:r>
      <w:r w:rsidR="00761BDE" w:rsidRPr="00D15A14">
        <w:rPr>
          <w:rFonts w:ascii="Sylfaen" w:hAnsi="Sylfaen"/>
          <w:lang w:val="ka-GE"/>
        </w:rPr>
        <w:t>არის</w:t>
      </w:r>
      <w:r w:rsidR="00761BDE" w:rsidRPr="00D15A14">
        <w:rPr>
          <w:rFonts w:ascii="Sylfaen" w:hAnsi="Sylfaen"/>
          <w:lang w:val="ka-GE"/>
        </w:rPr>
        <w:t xml:space="preserve"> </w:t>
      </w:r>
      <w:r w:rsidR="00761BDE" w:rsidRPr="00D15A14">
        <w:rPr>
          <w:rFonts w:ascii="Sylfaen" w:hAnsi="Sylfaen"/>
          <w:lang w:val="ka-GE"/>
        </w:rPr>
        <w:t>ბენეფიციარის</w:t>
      </w:r>
      <w:r w:rsidR="00761BDE" w:rsidRPr="00D15A14">
        <w:rPr>
          <w:rFonts w:ascii="Sylfaen" w:hAnsi="Sylfaen"/>
          <w:lang w:val="ka-GE"/>
        </w:rPr>
        <w:t xml:space="preserve"> </w:t>
      </w:r>
      <w:r w:rsidR="00761BDE" w:rsidRPr="00D15A14">
        <w:rPr>
          <w:rFonts w:ascii="Sylfaen" w:hAnsi="Sylfaen"/>
          <w:lang w:val="ka-GE"/>
        </w:rPr>
        <w:t>ან</w:t>
      </w:r>
      <w:r w:rsidR="00761BDE" w:rsidRPr="00D15A14">
        <w:rPr>
          <w:rFonts w:ascii="Sylfaen" w:hAnsi="Sylfaen"/>
          <w:lang w:val="ka-GE"/>
        </w:rPr>
        <w:t xml:space="preserve"> </w:t>
      </w:r>
      <w:r w:rsidR="00761BDE" w:rsidRPr="00D15A14">
        <w:rPr>
          <w:rFonts w:ascii="Sylfaen" w:hAnsi="Sylfaen"/>
          <w:lang w:val="ka-GE"/>
        </w:rPr>
        <w:t>მისი</w:t>
      </w:r>
      <w:r w:rsidR="00761BDE" w:rsidRPr="00D15A14">
        <w:rPr>
          <w:rFonts w:ascii="Sylfaen" w:hAnsi="Sylfaen"/>
          <w:lang w:val="ka-GE"/>
        </w:rPr>
        <w:t xml:space="preserve"> </w:t>
      </w:r>
      <w:r w:rsidR="00761BDE" w:rsidRPr="00D15A14">
        <w:rPr>
          <w:rFonts w:ascii="Sylfaen" w:hAnsi="Sylfaen"/>
          <w:lang w:val="ka-GE"/>
        </w:rPr>
        <w:t>კანონ</w:t>
      </w:r>
      <w:r w:rsidR="00761BDE" w:rsidRPr="00D15A14">
        <w:rPr>
          <w:rFonts w:ascii="Sylfaen" w:hAnsi="Sylfaen"/>
          <w:lang w:val="ka-GE"/>
        </w:rPr>
        <w:t>იერი</w:t>
      </w:r>
      <w:r w:rsidR="00761BDE" w:rsidRPr="00D15A14">
        <w:rPr>
          <w:rFonts w:ascii="Sylfaen" w:hAnsi="Sylfaen"/>
          <w:lang w:val="ka-GE"/>
        </w:rPr>
        <w:t xml:space="preserve"> </w:t>
      </w:r>
      <w:r w:rsidR="00761BDE" w:rsidRPr="00D15A14">
        <w:rPr>
          <w:rFonts w:ascii="Sylfaen" w:hAnsi="Sylfaen"/>
          <w:lang w:val="ka-GE"/>
        </w:rPr>
        <w:t>წარმომადგენლის</w:t>
      </w:r>
      <w:r w:rsidR="00761BDE" w:rsidRPr="00D15A14">
        <w:rPr>
          <w:rFonts w:ascii="Sylfaen" w:hAnsi="Sylfaen"/>
          <w:lang w:val="ka-GE"/>
        </w:rPr>
        <w:t xml:space="preserve"> </w:t>
      </w:r>
      <w:r w:rsidR="00761BDE" w:rsidRPr="00D15A14">
        <w:rPr>
          <w:rFonts w:ascii="Sylfaen" w:hAnsi="Sylfaen"/>
          <w:lang w:val="ka-GE"/>
        </w:rPr>
        <w:t>ხელმოწერა</w:t>
      </w:r>
      <w:r w:rsidR="00761BDE" w:rsidRPr="00D15A14">
        <w:rPr>
          <w:rFonts w:ascii="Sylfaen" w:hAnsi="Sylfaen"/>
          <w:lang w:val="ka-GE"/>
        </w:rPr>
        <w:t>.</w:t>
      </w:r>
    </w:p>
    <w:p w:rsidR="00000000" w:rsidRPr="00D15A14" w:rsidRDefault="00761BDE" w:rsidP="00D15A14">
      <w:pPr>
        <w:numPr>
          <w:ilvl w:val="0"/>
          <w:numId w:val="21"/>
        </w:numPr>
        <w:jc w:val="both"/>
        <w:rPr>
          <w:rFonts w:ascii="Sylfaen" w:hAnsi="Sylfaen"/>
        </w:rPr>
      </w:pPr>
      <w:r w:rsidRPr="00D15A14">
        <w:rPr>
          <w:rFonts w:ascii="Sylfaen" w:hAnsi="Sylfaen"/>
          <w:lang w:val="ka-GE"/>
        </w:rPr>
        <w:t>ძირითად</w:t>
      </w:r>
      <w:r w:rsidRPr="00D15A14">
        <w:rPr>
          <w:rFonts w:ascii="Sylfaen" w:hAnsi="Sylfaen"/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კონტიგენტში</w:t>
      </w:r>
      <w:r w:rsidRPr="00D15A14">
        <w:rPr>
          <w:rFonts w:ascii="Sylfaen" w:hAnsi="Sylfaen"/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დარეგისტრიებულნი</w:t>
      </w:r>
      <w:r w:rsidRPr="00D15A14">
        <w:rPr>
          <w:rFonts w:ascii="Sylfaen" w:hAnsi="Sylfaen"/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არიან</w:t>
      </w:r>
      <w:r w:rsidRPr="00D15A14">
        <w:rPr>
          <w:rFonts w:ascii="Sylfaen" w:hAnsi="Sylfaen"/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პაციენტები</w:t>
      </w:r>
      <w:r w:rsidRPr="00D15A14">
        <w:rPr>
          <w:rFonts w:ascii="Sylfaen" w:hAnsi="Sylfaen"/>
          <w:lang w:val="ka-GE"/>
        </w:rPr>
        <w:t xml:space="preserve">, </w:t>
      </w:r>
      <w:r w:rsidRPr="00D15A14">
        <w:rPr>
          <w:rFonts w:ascii="Sylfaen" w:hAnsi="Sylfaen"/>
          <w:lang w:val="ka-GE"/>
        </w:rPr>
        <w:t>რომლებიც</w:t>
      </w:r>
      <w:r w:rsidRPr="00D15A14">
        <w:rPr>
          <w:rFonts w:ascii="Sylfaen" w:hAnsi="Sylfaen"/>
          <w:lang w:val="ka-GE"/>
        </w:rPr>
        <w:t xml:space="preserve">  </w:t>
      </w:r>
      <w:r w:rsidRPr="00D15A14">
        <w:rPr>
          <w:rFonts w:ascii="Sylfaen" w:hAnsi="Sylfaen"/>
          <w:lang w:val="ka-GE"/>
        </w:rPr>
        <w:t>უნდა</w:t>
      </w:r>
      <w:r w:rsidRPr="00D15A14">
        <w:rPr>
          <w:rFonts w:ascii="Sylfaen" w:hAnsi="Sylfaen"/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ყოფილიყვნენ</w:t>
      </w:r>
      <w:r w:rsidRPr="00D15A14">
        <w:rPr>
          <w:rFonts w:ascii="Sylfaen" w:hAnsi="Sylfaen"/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დამატებით</w:t>
      </w:r>
      <w:r w:rsidRPr="00D15A14">
        <w:rPr>
          <w:rFonts w:ascii="Sylfaen" w:hAnsi="Sylfaen"/>
          <w:lang w:val="ka-GE"/>
        </w:rPr>
        <w:t xml:space="preserve"> </w:t>
      </w:r>
      <w:r w:rsidRPr="00D15A14">
        <w:rPr>
          <w:rFonts w:ascii="Sylfaen" w:hAnsi="Sylfaen"/>
          <w:lang w:val="ka-GE"/>
        </w:rPr>
        <w:t>კონტიგენტში</w:t>
      </w:r>
      <w:r w:rsidRPr="00D15A14">
        <w:rPr>
          <w:rFonts w:ascii="Sylfaen" w:hAnsi="Sylfaen"/>
          <w:lang w:val="ka-GE"/>
        </w:rPr>
        <w:t>.</w:t>
      </w:r>
    </w:p>
    <w:p w:rsidR="00D15A14" w:rsidRPr="00D15A14" w:rsidRDefault="00D15A14" w:rsidP="00D15A14">
      <w:pPr>
        <w:ind w:left="360"/>
        <w:jc w:val="both"/>
        <w:rPr>
          <w:rFonts w:ascii="Sylfaen" w:hAnsi="Sylfaen"/>
          <w:lang w:val="ka-GE"/>
        </w:rPr>
      </w:pPr>
    </w:p>
    <w:tbl>
      <w:tblPr>
        <w:tblpPr w:leftFromText="180" w:rightFromText="180" w:vertAnchor="text" w:horzAnchor="margin" w:tblpY="150"/>
        <w:tblW w:w="1000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60"/>
        <w:gridCol w:w="2941"/>
        <w:gridCol w:w="4303"/>
      </w:tblGrid>
      <w:tr w:rsidR="001679C2" w:rsidRPr="001679C2" w:rsidTr="00483808">
        <w:trPr>
          <w:trHeight w:val="1158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79C2" w:rsidRPr="001679C2" w:rsidRDefault="00483808" w:rsidP="00130ED7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kern w:val="24"/>
                <w:sz w:val="24"/>
                <w:szCs w:val="24"/>
                <w:lang w:val="ka-GE"/>
              </w:rPr>
              <w:lastRenderedPageBreak/>
              <w:t xml:space="preserve"> </w:t>
            </w:r>
            <w:r w:rsidR="001679C2" w:rsidRPr="001679C2">
              <w:rPr>
                <w:rFonts w:ascii="Sylfaen" w:eastAsia="Times New Roman" w:hAnsi="Sylfaen" w:cs="Sylfaen"/>
                <w:b/>
                <w:bCs/>
                <w:color w:val="000000"/>
                <w:kern w:val="24"/>
                <w:sz w:val="24"/>
                <w:szCs w:val="24"/>
                <w:lang w:val="ka-GE"/>
              </w:rPr>
              <w:t>შემოწმების</w:t>
            </w:r>
            <w:r w:rsidR="001679C2" w:rsidRPr="001679C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ka-GE"/>
              </w:rPr>
              <w:t xml:space="preserve"> </w:t>
            </w:r>
            <w:r w:rsidR="001679C2" w:rsidRPr="001679C2">
              <w:rPr>
                <w:rFonts w:ascii="Sylfaen" w:eastAsia="Times New Roman" w:hAnsi="Sylfaen" w:cs="Sylfaen"/>
                <w:b/>
                <w:bCs/>
                <w:color w:val="000000"/>
                <w:kern w:val="24"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79C2" w:rsidRPr="001679C2" w:rsidRDefault="001679C2" w:rsidP="0048380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79C2">
              <w:rPr>
                <w:rFonts w:ascii="Sylfaen" w:eastAsia="Times New Roman" w:hAnsi="Sylfaen" w:cs="Sylfaen"/>
                <w:b/>
                <w:bCs/>
                <w:color w:val="000000"/>
                <w:kern w:val="24"/>
                <w:sz w:val="24"/>
                <w:szCs w:val="24"/>
                <w:lang w:val="ka-GE"/>
              </w:rPr>
              <w:t>შემოწმებული</w:t>
            </w:r>
            <w:r w:rsidRPr="001679C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ka-GE"/>
              </w:rPr>
              <w:t xml:space="preserve">  </w:t>
            </w:r>
            <w:r w:rsidRPr="001679C2">
              <w:rPr>
                <w:rFonts w:ascii="Sylfaen" w:eastAsia="Times New Roman" w:hAnsi="Sylfaen" w:cs="Sylfaen"/>
                <w:b/>
                <w:bCs/>
                <w:color w:val="000000"/>
                <w:kern w:val="24"/>
                <w:sz w:val="24"/>
                <w:szCs w:val="24"/>
                <w:lang w:val="ka-GE"/>
              </w:rPr>
              <w:t>სამედიცინო</w:t>
            </w:r>
            <w:r w:rsidRPr="001679C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ka-GE"/>
              </w:rPr>
              <w:t xml:space="preserve"> </w:t>
            </w:r>
            <w:r w:rsidRPr="001679C2">
              <w:rPr>
                <w:rFonts w:ascii="Sylfaen" w:eastAsia="Times New Roman" w:hAnsi="Sylfaen" w:cs="Sylfaen"/>
                <w:b/>
                <w:bCs/>
                <w:color w:val="000000"/>
                <w:kern w:val="24"/>
                <w:sz w:val="24"/>
                <w:szCs w:val="24"/>
                <w:lang w:val="ka-GE"/>
              </w:rPr>
              <w:t>დაწესებულებების</w:t>
            </w:r>
            <w:r w:rsidRPr="001679C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ka-GE"/>
              </w:rPr>
              <w:t xml:space="preserve"> </w:t>
            </w:r>
            <w:r w:rsidRPr="001679C2">
              <w:rPr>
                <w:rFonts w:ascii="Sylfaen" w:eastAsia="Times New Roman" w:hAnsi="Sylfaen" w:cs="Sylfaen"/>
                <w:b/>
                <w:bCs/>
                <w:color w:val="000000"/>
                <w:kern w:val="24"/>
                <w:sz w:val="24"/>
                <w:szCs w:val="24"/>
                <w:lang w:val="ka-GE"/>
              </w:rPr>
              <w:t>რაოდენობა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79C2" w:rsidRPr="001679C2" w:rsidRDefault="001679C2" w:rsidP="00483808">
            <w:pPr>
              <w:spacing w:after="0" w:line="240" w:lineRule="auto"/>
              <w:ind w:right="60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79C2">
              <w:rPr>
                <w:rFonts w:ascii="Sylfaen" w:eastAsia="Times New Roman" w:hAnsi="Sylfaen" w:cs="Sylfaen"/>
                <w:b/>
                <w:bCs/>
                <w:color w:val="000000"/>
                <w:kern w:val="24"/>
                <w:sz w:val="24"/>
                <w:szCs w:val="24"/>
                <w:lang w:val="ka-GE"/>
              </w:rPr>
              <w:t>დარიცხული</w:t>
            </w:r>
            <w:r w:rsidRPr="001679C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4"/>
                <w:szCs w:val="24"/>
                <w:lang w:val="ka-GE"/>
              </w:rPr>
              <w:t xml:space="preserve"> </w:t>
            </w:r>
            <w:r w:rsidRPr="001679C2">
              <w:rPr>
                <w:rFonts w:ascii="Sylfaen" w:eastAsia="Times New Roman" w:hAnsi="Sylfaen" w:cs="Sylfaen"/>
                <w:b/>
                <w:bCs/>
                <w:color w:val="000000"/>
                <w:kern w:val="24"/>
                <w:sz w:val="24"/>
                <w:szCs w:val="24"/>
                <w:lang w:val="ka-GE"/>
              </w:rPr>
              <w:t>ჯარიმა</w:t>
            </w:r>
          </w:p>
        </w:tc>
      </w:tr>
      <w:tr w:rsidR="001679C2" w:rsidRPr="001679C2" w:rsidTr="00483808">
        <w:trPr>
          <w:trHeight w:val="43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679C2" w:rsidRPr="001679C2" w:rsidRDefault="001679C2" w:rsidP="00130ED7">
            <w:pPr>
              <w:spacing w:after="0" w:line="240" w:lineRule="auto"/>
              <w:jc w:val="both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1679C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</w:rPr>
              <w:t>2015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679C2" w:rsidRPr="001679C2" w:rsidRDefault="001679C2" w:rsidP="00130ED7">
            <w:pPr>
              <w:spacing w:after="0" w:line="240" w:lineRule="auto"/>
              <w:jc w:val="both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1679C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</w:rPr>
              <w:t>52 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679C2" w:rsidRPr="001679C2" w:rsidRDefault="001679C2" w:rsidP="00483808">
            <w:pPr>
              <w:spacing w:after="0" w:line="240" w:lineRule="auto"/>
              <w:ind w:right="600"/>
              <w:jc w:val="both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1679C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</w:rPr>
              <w:t xml:space="preserve"> 6,670,576  </w:t>
            </w:r>
          </w:p>
        </w:tc>
      </w:tr>
      <w:tr w:rsidR="001679C2" w:rsidRPr="001679C2" w:rsidTr="00483808">
        <w:trPr>
          <w:trHeight w:val="248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679C2" w:rsidRPr="001679C2" w:rsidRDefault="001679C2" w:rsidP="00130ED7">
            <w:pPr>
              <w:spacing w:after="0" w:line="240" w:lineRule="auto"/>
              <w:jc w:val="both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1679C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</w:rPr>
              <w:t>2016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679C2" w:rsidRPr="001679C2" w:rsidRDefault="001679C2" w:rsidP="00130ED7">
            <w:pPr>
              <w:spacing w:after="0" w:line="240" w:lineRule="auto"/>
              <w:jc w:val="both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1679C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</w:rPr>
              <w:t>24 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679C2" w:rsidRPr="001679C2" w:rsidRDefault="001679C2" w:rsidP="00483808">
            <w:pPr>
              <w:spacing w:after="0" w:line="240" w:lineRule="auto"/>
              <w:ind w:right="600"/>
              <w:jc w:val="both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1679C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</w:rPr>
              <w:t xml:space="preserve">6,051,861  </w:t>
            </w:r>
          </w:p>
        </w:tc>
      </w:tr>
      <w:tr w:rsidR="001679C2" w:rsidRPr="001679C2" w:rsidTr="00483808">
        <w:trPr>
          <w:trHeight w:val="433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679C2" w:rsidRPr="001679C2" w:rsidRDefault="001679C2" w:rsidP="00130ED7">
            <w:pPr>
              <w:spacing w:after="0" w:line="240" w:lineRule="auto"/>
              <w:jc w:val="both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1679C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val="ka-GE"/>
              </w:rPr>
              <w:t>15.10.2017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679C2" w:rsidRPr="001679C2" w:rsidRDefault="001679C2" w:rsidP="00130ED7">
            <w:pPr>
              <w:spacing w:after="0" w:line="240" w:lineRule="auto"/>
              <w:jc w:val="both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1679C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</w:rPr>
              <w:t>91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679C2" w:rsidRPr="001679C2" w:rsidRDefault="001679C2" w:rsidP="00483808">
            <w:pPr>
              <w:spacing w:after="0" w:line="240" w:lineRule="auto"/>
              <w:ind w:right="600"/>
              <w:jc w:val="both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1679C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</w:rPr>
              <w:t xml:space="preserve">9,037,555 </w:t>
            </w:r>
          </w:p>
        </w:tc>
      </w:tr>
      <w:tr w:rsidR="001679C2" w:rsidRPr="001679C2" w:rsidTr="00483808">
        <w:trPr>
          <w:trHeight w:val="409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679C2" w:rsidRPr="001679C2" w:rsidRDefault="001679C2" w:rsidP="00130ED7">
            <w:pPr>
              <w:spacing w:after="0" w:line="240" w:lineRule="auto"/>
              <w:jc w:val="both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1679C2">
              <w:rPr>
                <w:rFonts w:ascii="Sylfaen" w:eastAsia="Times New Roman" w:hAnsi="Sylfaen" w:cs="Sylfaen"/>
                <w:color w:val="000000"/>
                <w:kern w:val="24"/>
                <w:sz w:val="28"/>
                <w:szCs w:val="28"/>
                <w:lang w:val="ka-GE"/>
              </w:rPr>
              <w:t>სულ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679C2" w:rsidRPr="001679C2" w:rsidRDefault="001679C2" w:rsidP="00130ED7">
            <w:pPr>
              <w:spacing w:after="0" w:line="240" w:lineRule="auto"/>
              <w:jc w:val="both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1679C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</w:rPr>
              <w:t>167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679C2" w:rsidRPr="001679C2" w:rsidRDefault="001679C2" w:rsidP="00483808">
            <w:pPr>
              <w:spacing w:after="0" w:line="240" w:lineRule="auto"/>
              <w:ind w:right="600"/>
              <w:jc w:val="both"/>
              <w:textAlignment w:val="bottom"/>
              <w:rPr>
                <w:rFonts w:ascii="Arial" w:eastAsia="Times New Roman" w:hAnsi="Arial" w:cs="Arial"/>
                <w:sz w:val="28"/>
                <w:szCs w:val="28"/>
              </w:rPr>
            </w:pPr>
            <w:r w:rsidRPr="001679C2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</w:rPr>
              <w:t xml:space="preserve"> 21,759,992 </w:t>
            </w:r>
          </w:p>
        </w:tc>
      </w:tr>
    </w:tbl>
    <w:p w:rsidR="00835698" w:rsidRPr="00483808" w:rsidRDefault="00835698" w:rsidP="00483808">
      <w:pPr>
        <w:jc w:val="both"/>
        <w:rPr>
          <w:rFonts w:ascii="Sylfaen" w:hAnsi="Sylfaen"/>
          <w:lang w:val="ka-GE"/>
        </w:rPr>
      </w:pPr>
    </w:p>
    <w:p w:rsidR="006464C0" w:rsidRPr="006464C0" w:rsidRDefault="006464C0" w:rsidP="006464C0">
      <w:pPr>
        <w:pStyle w:val="ListParagraph"/>
        <w:jc w:val="both"/>
        <w:rPr>
          <w:rFonts w:ascii="Sylfaen" w:hAnsi="Sylfaen"/>
          <w:b/>
          <w:lang w:val="ka-GE"/>
        </w:rPr>
      </w:pPr>
    </w:p>
    <w:p w:rsidR="001679C2" w:rsidRPr="00835698" w:rsidRDefault="00B367FB" w:rsidP="00130ED7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835698">
        <w:rPr>
          <w:rFonts w:ascii="Sylfaen" w:hAnsi="Sylfaen"/>
          <w:b/>
          <w:lang w:val="ka-GE"/>
        </w:rPr>
        <w:t>დაგეგმილი ცვლილებები</w:t>
      </w:r>
    </w:p>
    <w:p w:rsidR="00B367FB" w:rsidRPr="00B367FB" w:rsidRDefault="00B367FB" w:rsidP="00835698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ჯანდაცვის სექტორში განხორციელებული რეფორმების მიუხედავად, კვლავ რჩება გამოწვევები, რომლებიც საჭიროებს დროულ და ეფექტიან რეაგირებას. დღეს არსებული ძირითადი გამოწვევებია: </w:t>
      </w:r>
    </w:p>
    <w:p w:rsidR="00F9405F" w:rsidRPr="00B367FB" w:rsidRDefault="000C0EA2" w:rsidP="00130ED7">
      <w:pPr>
        <w:numPr>
          <w:ilvl w:val="0"/>
          <w:numId w:val="11"/>
        </w:numPr>
        <w:jc w:val="both"/>
        <w:rPr>
          <w:rFonts w:ascii="Sylfaen" w:hAnsi="Sylfaen"/>
        </w:rPr>
      </w:pPr>
      <w:r w:rsidRPr="00B367FB">
        <w:rPr>
          <w:rFonts w:ascii="Sylfaen" w:hAnsi="Sylfaen"/>
          <w:bCs/>
          <w:lang w:val="ka-GE"/>
        </w:rPr>
        <w:t>ჯანდაცვაზე სახელმწიფო დანახარჯები კვლავ დაბალია ევროპის ქვეყნებთან შედარებით</w:t>
      </w:r>
    </w:p>
    <w:p w:rsidR="00F9405F" w:rsidRPr="00B367FB" w:rsidRDefault="000C0EA2" w:rsidP="00130ED7">
      <w:pPr>
        <w:numPr>
          <w:ilvl w:val="0"/>
          <w:numId w:val="11"/>
        </w:numPr>
        <w:jc w:val="both"/>
        <w:rPr>
          <w:rFonts w:ascii="Sylfaen" w:hAnsi="Sylfaen"/>
        </w:rPr>
      </w:pPr>
      <w:r w:rsidRPr="00B367FB">
        <w:rPr>
          <w:rFonts w:ascii="Sylfaen" w:hAnsi="Sylfaen"/>
          <w:bCs/>
          <w:lang w:val="ka-GE"/>
        </w:rPr>
        <w:t>კვლავ მაღალია ჯანდაცვაზე ჯიბიდან გადახდები</w:t>
      </w:r>
    </w:p>
    <w:p w:rsidR="00F9405F" w:rsidRPr="00B367FB" w:rsidRDefault="000C0EA2" w:rsidP="00130ED7">
      <w:pPr>
        <w:numPr>
          <w:ilvl w:val="0"/>
          <w:numId w:val="11"/>
        </w:numPr>
        <w:jc w:val="both"/>
        <w:rPr>
          <w:rFonts w:ascii="Sylfaen" w:hAnsi="Sylfaen"/>
        </w:rPr>
      </w:pPr>
      <w:r w:rsidRPr="00B367FB">
        <w:rPr>
          <w:rFonts w:ascii="Sylfaen" w:hAnsi="Sylfaen"/>
          <w:bCs/>
          <w:lang w:val="ka-GE"/>
        </w:rPr>
        <w:t>მაღალია ამბულატორიულ მედიკამენტებზე დანახარჯები</w:t>
      </w:r>
    </w:p>
    <w:p w:rsidR="00F9405F" w:rsidRPr="00B367FB" w:rsidRDefault="00835698" w:rsidP="00130ED7">
      <w:pPr>
        <w:numPr>
          <w:ilvl w:val="0"/>
          <w:numId w:val="11"/>
        </w:numPr>
        <w:jc w:val="both"/>
        <w:rPr>
          <w:rFonts w:ascii="Sylfaen" w:hAnsi="Sylfaen"/>
        </w:rPr>
      </w:pPr>
      <w:r>
        <w:rPr>
          <w:rFonts w:ascii="Sylfaen" w:hAnsi="Sylfaen"/>
          <w:bCs/>
          <w:lang w:val="ka-GE"/>
        </w:rPr>
        <w:t xml:space="preserve">უფრო </w:t>
      </w:r>
      <w:r w:rsidR="000C0EA2" w:rsidRPr="00B367FB">
        <w:rPr>
          <w:rFonts w:ascii="Sylfaen" w:hAnsi="Sylfaen"/>
          <w:bCs/>
          <w:lang w:val="ka-GE"/>
        </w:rPr>
        <w:t xml:space="preserve">მეტი </w:t>
      </w:r>
      <w:r>
        <w:rPr>
          <w:rFonts w:ascii="Sylfaen" w:hAnsi="Sylfaen"/>
          <w:bCs/>
          <w:lang w:val="ka-GE"/>
        </w:rPr>
        <w:t>რესურსია</w:t>
      </w:r>
      <w:r w:rsidR="000C0EA2" w:rsidRPr="00B367FB">
        <w:rPr>
          <w:rFonts w:ascii="Sylfaen" w:hAnsi="Sylfaen"/>
          <w:bCs/>
          <w:lang w:val="ka-GE"/>
        </w:rPr>
        <w:t xml:space="preserve"> მიმართული მკურნალობაზე, ვიდრე პრევენციაზე </w:t>
      </w:r>
    </w:p>
    <w:p w:rsidR="00B367FB" w:rsidRPr="00483808" w:rsidRDefault="00835698" w:rsidP="00483808">
      <w:pPr>
        <w:numPr>
          <w:ilvl w:val="0"/>
          <w:numId w:val="11"/>
        </w:numPr>
        <w:jc w:val="both"/>
        <w:rPr>
          <w:rFonts w:ascii="Sylfaen" w:hAnsi="Sylfaen"/>
        </w:rPr>
      </w:pPr>
      <w:r>
        <w:rPr>
          <w:rFonts w:ascii="Sylfaen" w:hAnsi="Sylfaen"/>
          <w:bCs/>
          <w:lang w:val="ka-GE"/>
        </w:rPr>
        <w:t>უნდა დაინერგოს</w:t>
      </w:r>
      <w:r w:rsidR="000C0EA2" w:rsidRPr="00B367FB">
        <w:rPr>
          <w:rFonts w:ascii="Sylfaen" w:hAnsi="Sylfaen"/>
          <w:bCs/>
          <w:lang w:val="ka-GE"/>
        </w:rPr>
        <w:t xml:space="preserve"> შესყიდვების</w:t>
      </w:r>
      <w:r>
        <w:rPr>
          <w:rFonts w:ascii="Sylfaen" w:hAnsi="Sylfaen"/>
          <w:bCs/>
          <w:lang w:val="ka-GE"/>
        </w:rPr>
        <w:t>ა</w:t>
      </w:r>
      <w:r w:rsidR="000C0EA2" w:rsidRPr="00B367FB">
        <w:rPr>
          <w:rFonts w:ascii="Sylfaen" w:hAnsi="Sylfaen"/>
          <w:bCs/>
          <w:lang w:val="ka-GE"/>
        </w:rPr>
        <w:t xml:space="preserve"> და ხარჯების შეკავების ახალი მექანიზმები</w:t>
      </w:r>
    </w:p>
    <w:p w:rsidR="00B367FB" w:rsidRDefault="00B367FB" w:rsidP="00130ED7">
      <w:pPr>
        <w:spacing w:before="120" w:after="240"/>
        <w:ind w:right="144"/>
        <w:jc w:val="both"/>
        <w:rPr>
          <w:rFonts w:ascii="Sylfaen" w:hAnsi="Sylfaen"/>
          <w:lang w:val="ka-GE"/>
        </w:rPr>
      </w:pPr>
      <w:r w:rsidRPr="00BE2D36">
        <w:rPr>
          <w:rFonts w:ascii="Sylfaen" w:hAnsi="Sylfaen"/>
          <w:bCs/>
          <w:lang w:val="ka-GE"/>
        </w:rPr>
        <w:t xml:space="preserve">პროგრამის შემდგომი სრულყოფის, </w:t>
      </w:r>
      <w:r>
        <w:rPr>
          <w:rFonts w:ascii="Sylfaen" w:hAnsi="Sylfaen"/>
          <w:bCs/>
          <w:lang w:val="ka-GE"/>
        </w:rPr>
        <w:t xml:space="preserve">მომსახურების ხარისხის გაუმჯობესების, </w:t>
      </w:r>
      <w:r w:rsidRPr="00BE2D36">
        <w:rPr>
          <w:rFonts w:ascii="Sylfaen" w:hAnsi="Sylfaen"/>
          <w:lang w:val="ka-GE"/>
        </w:rPr>
        <w:t>ხარჯების  სტაბილიზაციისა და ხარჯთეფექტინობის გაზრდის მიზნით მიმდინარეობს მუშაობა სხვადასხვა მიმართულებით</w:t>
      </w:r>
      <w:r>
        <w:rPr>
          <w:rFonts w:ascii="Sylfaen" w:hAnsi="Sylfaen"/>
          <w:lang w:val="ka-GE"/>
        </w:rPr>
        <w:t>, მათ შორის:</w:t>
      </w:r>
    </w:p>
    <w:p w:rsidR="00B367FB" w:rsidRPr="006062A6" w:rsidRDefault="00B367FB" w:rsidP="00483808">
      <w:pPr>
        <w:pStyle w:val="ListParagraph"/>
        <w:numPr>
          <w:ilvl w:val="0"/>
          <w:numId w:val="16"/>
        </w:numPr>
        <w:spacing w:before="240" w:after="240"/>
        <w:ind w:left="630" w:right="144"/>
        <w:jc w:val="both"/>
        <w:rPr>
          <w:rFonts w:ascii="Sylfaen" w:hAnsi="Sylfaen"/>
          <w:lang w:val="ka-GE"/>
        </w:rPr>
      </w:pPr>
      <w:r w:rsidRPr="00BE2D36">
        <w:rPr>
          <w:rFonts w:ascii="Sylfaen" w:hAnsi="Sylfaen" w:cs="Sylfaen"/>
          <w:lang w:val="ka-GE"/>
        </w:rPr>
        <w:t>მიმწოდებელთა</w:t>
      </w:r>
      <w:r w:rsidRPr="00BE2D36">
        <w:rPr>
          <w:rFonts w:ascii="Sylfaen" w:hAnsi="Sylfaen"/>
          <w:lang w:val="ka-GE"/>
        </w:rPr>
        <w:t xml:space="preserve"> პროგრამაში ჩართვის კრიტერიუმების </w:t>
      </w:r>
      <w:r>
        <w:rPr>
          <w:rFonts w:ascii="Sylfaen" w:hAnsi="Sylfaen"/>
          <w:lang w:val="ka-GE"/>
        </w:rPr>
        <w:t>სრულყოფა</w:t>
      </w:r>
    </w:p>
    <w:p w:rsidR="00B367FB" w:rsidRDefault="00B367FB" w:rsidP="00483808">
      <w:pPr>
        <w:pStyle w:val="ListParagraph"/>
        <w:numPr>
          <w:ilvl w:val="0"/>
          <w:numId w:val="16"/>
        </w:numPr>
        <w:spacing w:before="240" w:after="240"/>
        <w:ind w:left="630" w:right="142"/>
        <w:contextualSpacing w:val="0"/>
        <w:jc w:val="both"/>
        <w:rPr>
          <w:rFonts w:ascii="Sylfaen" w:hAnsi="Sylfaen"/>
          <w:lang w:val="ka-GE"/>
        </w:rPr>
      </w:pPr>
      <w:r w:rsidRPr="006062A6">
        <w:rPr>
          <w:rFonts w:ascii="Sylfaen" w:hAnsi="Sylfaen"/>
          <w:lang w:val="ka-GE"/>
        </w:rPr>
        <w:t xml:space="preserve">სელექტიური კონტაქტირება - პროგრამაში </w:t>
      </w:r>
      <w:proofErr w:type="spellStart"/>
      <w:r w:rsidRPr="006062A6">
        <w:rPr>
          <w:rFonts w:ascii="Sylfaen" w:hAnsi="Sylfaen" w:cs="Sylfaen"/>
        </w:rPr>
        <w:t>დაწესებულების</w:t>
      </w:r>
      <w:proofErr w:type="spellEnd"/>
      <w:r w:rsidRPr="006062A6">
        <w:rPr>
          <w:rFonts w:ascii="Sylfaen" w:hAnsi="Sylfaen" w:cs="Sylfaen"/>
        </w:rPr>
        <w:t xml:space="preserve"> </w:t>
      </w:r>
      <w:proofErr w:type="spellStart"/>
      <w:r w:rsidRPr="006062A6">
        <w:rPr>
          <w:rFonts w:ascii="Sylfaen" w:hAnsi="Sylfaen" w:cs="Sylfaen"/>
        </w:rPr>
        <w:t>ტიპი</w:t>
      </w:r>
      <w:proofErr w:type="spellEnd"/>
      <w:r w:rsidRPr="006062A6">
        <w:rPr>
          <w:rFonts w:ascii="Sylfaen" w:hAnsi="Sylfaen" w:cs="Sylfaen"/>
          <w:lang w:val="ka-GE"/>
        </w:rPr>
        <w:t xml:space="preserve">ს, სერვისების ხასიათისა და მოცულობის განსაზღვრული </w:t>
      </w:r>
      <w:r w:rsidRPr="006062A6">
        <w:rPr>
          <w:rFonts w:ascii="Sylfaen" w:hAnsi="Sylfaen"/>
          <w:lang w:val="ka-GE"/>
        </w:rPr>
        <w:t>პირობებით ჩართვა</w:t>
      </w:r>
    </w:p>
    <w:p w:rsidR="00B367FB" w:rsidRPr="00B367FB" w:rsidRDefault="005708A5" w:rsidP="00483808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630"/>
        <w:jc w:val="both"/>
        <w:rPr>
          <w:rFonts w:ascii="Sylfaen" w:eastAsia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2018 </w:t>
      </w:r>
      <w:r w:rsidR="00B367FB" w:rsidRPr="00B367FB">
        <w:rPr>
          <w:rFonts w:ascii="Sylfaen" w:hAnsi="Sylfaen" w:cs="Sylfaen"/>
          <w:lang w:val="ka-GE"/>
        </w:rPr>
        <w:t>წლის</w:t>
      </w:r>
      <w:r w:rsidR="00B367FB" w:rsidRPr="00B367FB">
        <w:rPr>
          <w:rFonts w:ascii="Sylfaen" w:hAnsi="Sylfaen"/>
          <w:lang w:val="ka-GE"/>
        </w:rPr>
        <w:t xml:space="preserve"> 1 იანვრიდან გადაუდებელი სტაციონარული მომსახურების კომპონენტში თბილისში, </w:t>
      </w:r>
      <w:r>
        <w:rPr>
          <w:rFonts w:ascii="Sylfaen" w:hAnsi="Sylfaen"/>
          <w:lang w:val="ka-GE"/>
        </w:rPr>
        <w:t>ქუთაისსა</w:t>
      </w:r>
      <w:r w:rsidR="00B367FB" w:rsidRPr="00B367FB">
        <w:rPr>
          <w:rFonts w:ascii="Sylfaen" w:hAnsi="Sylfaen"/>
          <w:lang w:val="ka-GE"/>
        </w:rPr>
        <w:t xml:space="preserve"> და ბათუმში გადაუდებელი სტაციოონარული მომსახურების </w:t>
      </w:r>
      <w:r>
        <w:rPr>
          <w:rFonts w:ascii="Sylfaen" w:hAnsi="Sylfaen"/>
          <w:lang w:val="ka-GE"/>
        </w:rPr>
        <w:t>კომპონენტის</w:t>
      </w:r>
      <w:r w:rsidR="00B367FB" w:rsidRPr="00B367FB">
        <w:rPr>
          <w:rFonts w:ascii="Sylfaen" w:hAnsi="Sylfaen"/>
          <w:lang w:val="ka-GE"/>
        </w:rPr>
        <w:t xml:space="preserve"> მიმწოდებლები უნდა ფლობდნენ  გადაუდებელი სამედიცინო მომსახურებისა (</w:t>
      </w:r>
      <w:r w:rsidR="00B367FB" w:rsidRPr="00B367FB">
        <w:rPr>
          <w:rFonts w:ascii="Sylfaen" w:hAnsi="Sylfaen"/>
        </w:rPr>
        <w:t xml:space="preserve">EMERGENCY) </w:t>
      </w:r>
      <w:r w:rsidR="00B367FB" w:rsidRPr="00B367FB">
        <w:rPr>
          <w:rFonts w:ascii="Sylfaen" w:hAnsi="Sylfaen"/>
          <w:lang w:val="ka-GE"/>
        </w:rPr>
        <w:t xml:space="preserve"> და რეანიმაციის სანებართვო დანართს; </w:t>
      </w:r>
    </w:p>
    <w:p w:rsidR="00D47102" w:rsidRPr="00D47102" w:rsidRDefault="00D47102" w:rsidP="00D47102">
      <w:pPr>
        <w:pStyle w:val="ListParagraph"/>
        <w:jc w:val="both"/>
        <w:rPr>
          <w:rFonts w:ascii="Sylfaen" w:hAnsi="Sylfaen" w:cs="Sylfaen"/>
          <w:position w:val="2"/>
          <w:lang w:val="ka-GE"/>
        </w:rPr>
      </w:pPr>
    </w:p>
    <w:p w:rsidR="00D673CA" w:rsidRPr="00D47102" w:rsidRDefault="00B367FB" w:rsidP="00D15A14">
      <w:pPr>
        <w:pStyle w:val="ListParagraph"/>
        <w:numPr>
          <w:ilvl w:val="0"/>
          <w:numId w:val="17"/>
        </w:numPr>
        <w:ind w:left="540"/>
        <w:jc w:val="both"/>
        <w:rPr>
          <w:rFonts w:ascii="Sylfaen" w:hAnsi="Sylfaen" w:cs="Sylfaen"/>
          <w:position w:val="2"/>
          <w:lang w:val="ka-GE"/>
        </w:rPr>
      </w:pPr>
      <w:r w:rsidRPr="00D47102">
        <w:rPr>
          <w:rFonts w:ascii="Sylfaen" w:hAnsi="Sylfaen"/>
          <w:lang w:val="ka-GE"/>
        </w:rPr>
        <w:t xml:space="preserve">2018 წლის 1 იანვრიდან </w:t>
      </w:r>
      <w:r w:rsidRPr="00D47102">
        <w:rPr>
          <w:rFonts w:ascii="Sylfaen" w:hAnsi="Sylfaen" w:cs="Sylfaen"/>
          <w:position w:val="2"/>
          <w:lang w:val="ka-GE"/>
        </w:rPr>
        <w:t xml:space="preserve">საყოველთაო ჯანმრთელობის დაცვის პროგრამაში გეგმური სამედიცინო </w:t>
      </w:r>
      <w:r w:rsidR="00D673CA" w:rsidRPr="00D47102">
        <w:rPr>
          <w:rFonts w:ascii="Sylfaen" w:hAnsi="Sylfaen" w:cs="Sylfaen"/>
          <w:position w:val="2"/>
          <w:lang w:val="ka-GE"/>
        </w:rPr>
        <w:t xml:space="preserve">მომსახურებას მოქალაქე უფრო გამარტივებული გზით მიიღებს.  ბენეფიციარებს მომსახურების მისაღებად რამდენიმე ადგილას მისვლა აღარ მოუწევთ. </w:t>
      </w:r>
      <w:r w:rsidR="00D673CA" w:rsidRPr="00D47102">
        <w:rPr>
          <w:rFonts w:ascii="Sylfaen" w:hAnsi="Sylfaen" w:cs="Sylfaen"/>
          <w:position w:val="2"/>
          <w:lang w:val="ka-GE"/>
        </w:rPr>
        <w:lastRenderedPageBreak/>
        <w:t xml:space="preserve">განცხადების ცასავარებლად და საგარანტიო წერილის ასაღებად, მოქალაქეს სერვის ცენტრის გვერდის ავლით, მხოლოდ სერვისის მიმწოდებელ სამედიცინო დაწესებულებასთან მიმართვა მოუწევს. </w:t>
      </w:r>
      <w:r w:rsidR="00D47102" w:rsidRPr="00D47102">
        <w:rPr>
          <w:rFonts w:ascii="Sylfaen" w:hAnsi="Sylfaen" w:cs="Sylfaen"/>
          <w:position w:val="2"/>
          <w:lang w:val="ka-GE"/>
        </w:rPr>
        <w:t>სერვის ცენტრებში მიმართვა საჭირო იქნება მხოლოდ ქიმიო და ჰორმონომედიკამენტებისთვის მატერიალიზებული ვაუჩერის მისაღებად.</w:t>
      </w:r>
    </w:p>
    <w:p w:rsidR="00D47102" w:rsidRDefault="00D47102" w:rsidP="00D47102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ascii="Sylfaen" w:eastAsia="Sylfaen" w:hAnsi="Sylfaen"/>
          <w:lang w:val="ka-GE"/>
        </w:rPr>
      </w:pPr>
    </w:p>
    <w:p w:rsidR="00D47102" w:rsidRDefault="00B367FB" w:rsidP="00D4710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Sylfaen" w:eastAsia="Sylfaen" w:hAnsi="Sylfaen"/>
          <w:lang w:val="ka-GE"/>
        </w:rPr>
      </w:pPr>
      <w:r w:rsidRPr="00D47102">
        <w:rPr>
          <w:rFonts w:ascii="Sylfaen" w:eastAsia="Sylfaen" w:hAnsi="Sylfaen"/>
          <w:lang w:val="ka-GE"/>
        </w:rPr>
        <w:t xml:space="preserve">პროგრამის მიმწოდებელისათვის მიმართვისა  და </w:t>
      </w:r>
      <w:r w:rsidR="00D673CA" w:rsidRPr="00D47102">
        <w:rPr>
          <w:rFonts w:ascii="Sylfaen" w:eastAsia="Sylfaen" w:hAnsi="Sylfaen"/>
          <w:lang w:val="ka-GE"/>
        </w:rPr>
        <w:t>ბენეფიციარის</w:t>
      </w:r>
      <w:r w:rsidRPr="00D47102">
        <w:rPr>
          <w:rFonts w:ascii="Sylfaen" w:eastAsia="Sylfaen" w:hAnsi="Sylfaen"/>
        </w:rPr>
        <w:t xml:space="preserve"> </w:t>
      </w:r>
      <w:proofErr w:type="spellStart"/>
      <w:r w:rsidRPr="00D47102">
        <w:rPr>
          <w:rFonts w:ascii="Sylfaen" w:eastAsia="Sylfaen" w:hAnsi="Sylfaen"/>
        </w:rPr>
        <w:t>მიერ</w:t>
      </w:r>
      <w:proofErr w:type="spellEnd"/>
      <w:r w:rsidRPr="00D47102">
        <w:rPr>
          <w:rFonts w:ascii="Sylfaen" w:eastAsia="Sylfaen" w:hAnsi="Sylfaen"/>
        </w:rPr>
        <w:t xml:space="preserve"> </w:t>
      </w:r>
      <w:proofErr w:type="spellStart"/>
      <w:r w:rsidRPr="00D47102">
        <w:rPr>
          <w:rFonts w:ascii="Sylfaen" w:eastAsia="Sylfaen" w:hAnsi="Sylfaen"/>
        </w:rPr>
        <w:t>პროგრამის</w:t>
      </w:r>
      <w:proofErr w:type="spellEnd"/>
      <w:r w:rsidRPr="00D47102">
        <w:rPr>
          <w:rFonts w:ascii="Sylfaen" w:eastAsia="Sylfaen" w:hAnsi="Sylfaen"/>
        </w:rPr>
        <w:t xml:space="preserve"> </w:t>
      </w:r>
      <w:proofErr w:type="spellStart"/>
      <w:r w:rsidRPr="00D47102">
        <w:rPr>
          <w:rFonts w:ascii="Sylfaen" w:eastAsia="Sylfaen" w:hAnsi="Sylfaen"/>
        </w:rPr>
        <w:t>ფარგლებში</w:t>
      </w:r>
      <w:proofErr w:type="spellEnd"/>
      <w:r w:rsidRPr="00D47102">
        <w:rPr>
          <w:rFonts w:ascii="Sylfaen" w:eastAsia="Sylfaen" w:hAnsi="Sylfaen"/>
        </w:rPr>
        <w:t xml:space="preserve"> </w:t>
      </w:r>
      <w:proofErr w:type="spellStart"/>
      <w:r w:rsidRPr="00D47102">
        <w:rPr>
          <w:rFonts w:ascii="Sylfaen" w:eastAsia="Sylfaen" w:hAnsi="Sylfaen"/>
        </w:rPr>
        <w:t>განსაზღვრული</w:t>
      </w:r>
      <w:proofErr w:type="spellEnd"/>
      <w:r w:rsidRPr="00D47102">
        <w:rPr>
          <w:rFonts w:ascii="Sylfaen" w:eastAsia="Sylfaen" w:hAnsi="Sylfaen"/>
        </w:rPr>
        <w:t xml:space="preserve"> </w:t>
      </w:r>
      <w:proofErr w:type="spellStart"/>
      <w:r w:rsidRPr="00D47102">
        <w:rPr>
          <w:rFonts w:ascii="Sylfaen" w:eastAsia="Sylfaen" w:hAnsi="Sylfaen"/>
        </w:rPr>
        <w:t>მოსარგებლის</w:t>
      </w:r>
      <w:proofErr w:type="spellEnd"/>
      <w:r w:rsidRPr="00D47102">
        <w:rPr>
          <w:rFonts w:ascii="Sylfaen" w:eastAsia="Sylfaen" w:hAnsi="Sylfaen"/>
        </w:rPr>
        <w:t xml:space="preserve"> </w:t>
      </w:r>
      <w:proofErr w:type="spellStart"/>
      <w:r w:rsidRPr="00D47102">
        <w:rPr>
          <w:rFonts w:ascii="Sylfaen" w:eastAsia="Sylfaen" w:hAnsi="Sylfaen"/>
        </w:rPr>
        <w:t>კრიტერიუმების</w:t>
      </w:r>
      <w:proofErr w:type="spellEnd"/>
      <w:r w:rsidRPr="00D47102">
        <w:rPr>
          <w:rFonts w:ascii="Sylfaen" w:eastAsia="Sylfaen" w:hAnsi="Sylfaen"/>
        </w:rPr>
        <w:t xml:space="preserve"> </w:t>
      </w:r>
      <w:proofErr w:type="spellStart"/>
      <w:r w:rsidRPr="00D47102">
        <w:rPr>
          <w:rFonts w:ascii="Sylfaen" w:eastAsia="Sylfaen" w:hAnsi="Sylfaen"/>
        </w:rPr>
        <w:t>დაკმაყოფილების</w:t>
      </w:r>
      <w:proofErr w:type="spellEnd"/>
      <w:r w:rsidRPr="00D47102">
        <w:rPr>
          <w:rFonts w:ascii="Sylfaen" w:eastAsia="Sylfaen" w:hAnsi="Sylfaen"/>
          <w:lang w:val="ka-GE"/>
        </w:rPr>
        <w:t xml:space="preserve"> შემთხვევაში, მიმწოდებლს </w:t>
      </w:r>
      <w:r w:rsidR="00D47102" w:rsidRPr="00D47102">
        <w:rPr>
          <w:rFonts w:ascii="Sylfaen" w:eastAsia="Sylfaen" w:hAnsi="Sylfaen"/>
          <w:lang w:val="ka-GE"/>
        </w:rPr>
        <w:t>საშულება ექნება</w:t>
      </w:r>
      <w:r w:rsidRPr="00D47102">
        <w:rPr>
          <w:rFonts w:ascii="Sylfaen" w:eastAsia="Sylfaen" w:hAnsi="Sylfaen"/>
          <w:lang w:val="ka-GE"/>
        </w:rPr>
        <w:t xml:space="preserve">, სამედიცინო საჭიროების მიხედვით, სპეციალურ ელექტრონულ სისტემაში მოახდინოს შესაბამისი ფორმის განაცხადის (რეკვიზიტები, </w:t>
      </w:r>
      <w:proofErr w:type="spellStart"/>
      <w:r w:rsidRPr="00D47102">
        <w:rPr>
          <w:rFonts w:ascii="Sylfaen" w:eastAsia="Sylfaen" w:hAnsi="Sylfaen"/>
        </w:rPr>
        <w:t>სამედიცინო</w:t>
      </w:r>
      <w:proofErr w:type="spellEnd"/>
      <w:r w:rsidRPr="00D47102">
        <w:rPr>
          <w:rFonts w:ascii="Sylfaen" w:eastAsia="Sylfaen" w:hAnsi="Sylfaen"/>
        </w:rPr>
        <w:t xml:space="preserve"> </w:t>
      </w:r>
      <w:proofErr w:type="spellStart"/>
      <w:r w:rsidRPr="00D47102">
        <w:rPr>
          <w:rFonts w:ascii="Sylfaen" w:eastAsia="Sylfaen" w:hAnsi="Sylfaen"/>
        </w:rPr>
        <w:t>საჭიროების</w:t>
      </w:r>
      <w:proofErr w:type="spellEnd"/>
      <w:r w:rsidRPr="00D47102">
        <w:rPr>
          <w:rFonts w:ascii="Sylfaen" w:eastAsia="Sylfaen" w:hAnsi="Sylfaen"/>
        </w:rPr>
        <w:t xml:space="preserve"> </w:t>
      </w:r>
      <w:proofErr w:type="spellStart"/>
      <w:r w:rsidRPr="00D47102">
        <w:rPr>
          <w:rFonts w:ascii="Sylfaen" w:eastAsia="Sylfaen" w:hAnsi="Sylfaen"/>
        </w:rPr>
        <w:t>დამადასტურებელი</w:t>
      </w:r>
      <w:proofErr w:type="spellEnd"/>
      <w:r w:rsidRPr="00D47102">
        <w:rPr>
          <w:rFonts w:ascii="Sylfaen" w:eastAsia="Sylfaen" w:hAnsi="Sylfaen"/>
        </w:rPr>
        <w:t xml:space="preserve"> </w:t>
      </w:r>
      <w:proofErr w:type="spellStart"/>
      <w:r w:rsidRPr="00D47102">
        <w:rPr>
          <w:rFonts w:ascii="Sylfaen" w:eastAsia="Sylfaen" w:hAnsi="Sylfaen"/>
        </w:rPr>
        <w:t>ცნობა</w:t>
      </w:r>
      <w:proofErr w:type="spellEnd"/>
      <w:r w:rsidRPr="00D47102">
        <w:rPr>
          <w:rFonts w:ascii="Sylfaen" w:eastAsia="Sylfaen" w:hAnsi="Sylfaen"/>
        </w:rPr>
        <w:t xml:space="preserve"> (</w:t>
      </w:r>
      <w:proofErr w:type="spellStart"/>
      <w:r w:rsidRPr="00D47102">
        <w:rPr>
          <w:rFonts w:ascii="Sylfaen" w:eastAsia="Sylfaen" w:hAnsi="Sylfaen"/>
        </w:rPr>
        <w:t>ჯანმრთელობის</w:t>
      </w:r>
      <w:proofErr w:type="spellEnd"/>
      <w:r w:rsidRPr="00D47102">
        <w:rPr>
          <w:rFonts w:ascii="Sylfaen" w:eastAsia="Sylfaen" w:hAnsi="Sylfaen"/>
        </w:rPr>
        <w:t xml:space="preserve"> </w:t>
      </w:r>
      <w:proofErr w:type="spellStart"/>
      <w:r w:rsidRPr="00D47102">
        <w:rPr>
          <w:rFonts w:ascii="Sylfaen" w:eastAsia="Sylfaen" w:hAnsi="Sylfaen"/>
        </w:rPr>
        <w:t>მდგომარეობის</w:t>
      </w:r>
      <w:proofErr w:type="spellEnd"/>
      <w:r w:rsidRPr="00D47102">
        <w:rPr>
          <w:rFonts w:ascii="Sylfaen" w:eastAsia="Sylfaen" w:hAnsi="Sylfaen"/>
        </w:rPr>
        <w:t xml:space="preserve"> </w:t>
      </w:r>
      <w:proofErr w:type="spellStart"/>
      <w:r w:rsidRPr="00D47102">
        <w:rPr>
          <w:rFonts w:ascii="Sylfaen" w:eastAsia="Sylfaen" w:hAnsi="Sylfaen"/>
        </w:rPr>
        <w:t>შესახებ</w:t>
      </w:r>
      <w:proofErr w:type="spellEnd"/>
      <w:r w:rsidRPr="00D47102">
        <w:rPr>
          <w:rFonts w:ascii="Sylfaen" w:eastAsia="Sylfaen" w:hAnsi="Sylfaen"/>
        </w:rPr>
        <w:t xml:space="preserve"> </w:t>
      </w:r>
      <w:proofErr w:type="spellStart"/>
      <w:r w:rsidRPr="00D47102">
        <w:rPr>
          <w:rFonts w:ascii="Sylfaen" w:eastAsia="Sylfaen" w:hAnsi="Sylfaen"/>
        </w:rPr>
        <w:t>ცნობა</w:t>
      </w:r>
      <w:proofErr w:type="spellEnd"/>
      <w:r w:rsidRPr="00D47102">
        <w:rPr>
          <w:rFonts w:ascii="Sylfaen" w:eastAsia="Sylfaen" w:hAnsi="Sylfaen"/>
          <w:lang w:val="ka-GE"/>
        </w:rPr>
        <w:t xml:space="preserve"> </w:t>
      </w:r>
      <w:proofErr w:type="spellStart"/>
      <w:r w:rsidRPr="00D47102">
        <w:rPr>
          <w:rFonts w:ascii="Sylfaen" w:eastAsia="Sylfaen" w:hAnsi="Sylfaen"/>
        </w:rPr>
        <w:t>ფორმა</w:t>
      </w:r>
      <w:proofErr w:type="spellEnd"/>
      <w:r w:rsidRPr="00D47102">
        <w:rPr>
          <w:rFonts w:ascii="Sylfaen" w:eastAsia="Sylfaen" w:hAnsi="Sylfaen"/>
        </w:rPr>
        <w:t xml:space="preserve"> №IV-100/ა</w:t>
      </w:r>
      <w:r w:rsidRPr="00D47102">
        <w:rPr>
          <w:rFonts w:ascii="Sylfaen" w:eastAsia="Sylfaen" w:hAnsi="Sylfaen"/>
          <w:lang w:val="ka-GE"/>
        </w:rPr>
        <w:t>, კალკულაცია) შევსება</w:t>
      </w:r>
      <w:r w:rsidR="00D47102" w:rsidRPr="00D47102">
        <w:rPr>
          <w:rFonts w:ascii="Sylfaen" w:eastAsia="Sylfaen" w:hAnsi="Sylfaen"/>
          <w:lang w:val="ka-GE"/>
        </w:rPr>
        <w:t>.</w:t>
      </w:r>
      <w:r w:rsidRPr="00D47102">
        <w:rPr>
          <w:rFonts w:ascii="Sylfaen" w:eastAsia="Sylfaen" w:hAnsi="Sylfaen"/>
          <w:lang w:val="ka-GE"/>
        </w:rPr>
        <w:t xml:space="preserve"> </w:t>
      </w:r>
    </w:p>
    <w:p w:rsidR="00D47102" w:rsidRPr="00D47102" w:rsidRDefault="00D47102" w:rsidP="00D47102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ascii="Sylfaen" w:eastAsia="Sylfaen" w:hAnsi="Sylfaen"/>
          <w:lang w:val="ka-GE"/>
        </w:rPr>
      </w:pPr>
    </w:p>
    <w:p w:rsidR="00B367FB" w:rsidRPr="00D47102" w:rsidRDefault="00B367FB" w:rsidP="00D4710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Sylfaen" w:eastAsia="Sylfaen" w:hAnsi="Sylfaen"/>
          <w:lang w:val="ka-GE"/>
        </w:rPr>
      </w:pPr>
      <w:r w:rsidRPr="00D47102">
        <w:rPr>
          <w:rFonts w:ascii="Sylfaen" w:eastAsia="Sylfaen" w:hAnsi="Sylfaen" w:cs="Sylfaen"/>
          <w:lang w:val="ka-GE"/>
        </w:rPr>
        <w:t>გეგმური</w:t>
      </w:r>
      <w:r w:rsidRPr="00D47102">
        <w:rPr>
          <w:rFonts w:ascii="Sylfaen" w:eastAsia="Sylfaen" w:hAnsi="Sylfaen"/>
          <w:lang w:val="ka-GE"/>
        </w:rPr>
        <w:t xml:space="preserve"> ამბულატორიული მომსახურებისთვის 2014 წლის 1 აპრილამდე დარეგისტრირებული მოსარგებლეების მკაცრი აღრიცხვის დოკუმენტით </w:t>
      </w:r>
      <w:proofErr w:type="spellStart"/>
      <w:r w:rsidRPr="00D47102">
        <w:rPr>
          <w:rFonts w:ascii="Sylfaen" w:eastAsia="Sylfaen" w:hAnsi="Sylfaen"/>
        </w:rPr>
        <w:t>ხელახალი</w:t>
      </w:r>
      <w:proofErr w:type="spellEnd"/>
      <w:r w:rsidRPr="00D47102">
        <w:rPr>
          <w:rFonts w:ascii="Sylfaen" w:eastAsia="Sylfaen" w:hAnsi="Sylfaen"/>
        </w:rPr>
        <w:t xml:space="preserve"> </w:t>
      </w:r>
      <w:proofErr w:type="spellStart"/>
      <w:r w:rsidRPr="00D47102">
        <w:rPr>
          <w:rFonts w:ascii="Sylfaen" w:eastAsia="Sylfaen" w:hAnsi="Sylfaen"/>
        </w:rPr>
        <w:t>რეგისტრაციის</w:t>
      </w:r>
      <w:proofErr w:type="spellEnd"/>
      <w:r w:rsidRPr="00D47102">
        <w:rPr>
          <w:rFonts w:ascii="Sylfaen" w:eastAsia="Sylfaen" w:hAnsi="Sylfaen"/>
        </w:rPr>
        <w:t xml:space="preserve"> </w:t>
      </w:r>
      <w:proofErr w:type="spellStart"/>
      <w:r w:rsidRPr="00D47102">
        <w:rPr>
          <w:rFonts w:ascii="Sylfaen" w:eastAsia="Sylfaen" w:hAnsi="Sylfaen"/>
        </w:rPr>
        <w:t>ვად</w:t>
      </w:r>
      <w:proofErr w:type="spellEnd"/>
      <w:r w:rsidRPr="00D47102">
        <w:rPr>
          <w:rFonts w:ascii="Sylfaen" w:eastAsia="Sylfaen" w:hAnsi="Sylfaen"/>
          <w:lang w:val="ka-GE"/>
        </w:rPr>
        <w:t>ად განისაზღვრა 2018 წლის 1 აპრილი;</w:t>
      </w:r>
    </w:p>
    <w:p w:rsidR="00D47102" w:rsidRPr="00D47102" w:rsidRDefault="00D47102" w:rsidP="00D47102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ascii="Sylfaen" w:eastAsia="Sylfaen" w:hAnsi="Sylfaen"/>
          <w:sz w:val="20"/>
          <w:szCs w:val="20"/>
          <w:lang w:val="ka-GE"/>
        </w:rPr>
      </w:pPr>
    </w:p>
    <w:p w:rsidR="00B367FB" w:rsidRPr="00B367FB" w:rsidRDefault="00B367FB" w:rsidP="00D4710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Sylfaen" w:eastAsia="Sylfaen" w:hAnsi="Sylfaen"/>
          <w:sz w:val="20"/>
          <w:szCs w:val="20"/>
          <w:lang w:val="ka-GE"/>
        </w:rPr>
      </w:pPr>
      <w:r w:rsidRPr="00B367FB">
        <w:rPr>
          <w:rFonts w:ascii="Sylfaen" w:hAnsi="Sylfaen" w:cs="Sylfaen"/>
          <w:lang w:val="ka-GE"/>
        </w:rPr>
        <w:t>საყოველთაო</w:t>
      </w:r>
      <w:r w:rsidRPr="00B367FB">
        <w:rPr>
          <w:rFonts w:ascii="Sylfaen" w:hAnsi="Sylfaen"/>
          <w:lang w:val="ka-GE"/>
        </w:rPr>
        <w:t xml:space="preserve"> ჯანდაცვის პროვაიდერების ანაზღაურების მექანიზმების</w:t>
      </w:r>
      <w:r w:rsidR="00D47102">
        <w:rPr>
          <w:rFonts w:ascii="Sylfaen" w:hAnsi="Sylfaen"/>
          <w:lang w:val="ka-GE"/>
        </w:rPr>
        <w:t>ა</w:t>
      </w:r>
      <w:r w:rsidRPr="00B367FB">
        <w:rPr>
          <w:rFonts w:ascii="Sylfaen" w:hAnsi="Sylfaen"/>
          <w:lang w:val="ka-GE"/>
        </w:rPr>
        <w:t xml:space="preserve"> და თანაგადახდების წესის სტანდარტიზება (</w:t>
      </w:r>
      <w:r w:rsidRPr="00B367FB">
        <w:rPr>
          <w:rFonts w:ascii="Sylfaen" w:hAnsi="Sylfaen"/>
        </w:rPr>
        <w:t>DRG, P4P)</w:t>
      </w:r>
      <w:r w:rsidRPr="00B367FB">
        <w:rPr>
          <w:rFonts w:ascii="Sylfaen" w:hAnsi="Sylfaen"/>
          <w:lang w:val="ka-GE"/>
        </w:rPr>
        <w:t>;</w:t>
      </w:r>
    </w:p>
    <w:p w:rsidR="00D47102" w:rsidRPr="00D47102" w:rsidRDefault="00D47102" w:rsidP="00D47102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ascii="Sylfaen" w:eastAsia="Sylfaen" w:hAnsi="Sylfaen"/>
          <w:sz w:val="20"/>
          <w:szCs w:val="20"/>
          <w:lang w:val="ka-GE"/>
        </w:rPr>
      </w:pPr>
    </w:p>
    <w:p w:rsidR="00B367FB" w:rsidRPr="00B367FB" w:rsidRDefault="00B367FB" w:rsidP="00D4710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Sylfaen" w:eastAsia="Sylfaen" w:hAnsi="Sylfaen"/>
          <w:sz w:val="20"/>
          <w:szCs w:val="20"/>
          <w:lang w:val="ka-GE"/>
        </w:rPr>
      </w:pPr>
      <w:r w:rsidRPr="00B367FB">
        <w:rPr>
          <w:rFonts w:ascii="Sylfaen" w:hAnsi="Sylfaen"/>
          <w:lang w:val="ka-GE"/>
        </w:rPr>
        <w:t xml:space="preserve">მედიკამენტით მოცვის გაზრდა, მათ შორის, ქრონიკული </w:t>
      </w:r>
      <w:r w:rsidR="00D47102">
        <w:rPr>
          <w:rFonts w:ascii="Sylfaen" w:hAnsi="Sylfaen"/>
          <w:lang w:val="ka-GE"/>
        </w:rPr>
        <w:t>დაავადებების</w:t>
      </w:r>
      <w:r w:rsidRPr="00B367FB">
        <w:rPr>
          <w:rFonts w:ascii="Sylfaen" w:hAnsi="Sylfaen"/>
          <w:lang w:val="ka-GE"/>
        </w:rPr>
        <w:t xml:space="preserve"> სამკურნალო მედიკამენტებით;</w:t>
      </w:r>
    </w:p>
    <w:p w:rsidR="00D47102" w:rsidRPr="00D47102" w:rsidRDefault="00D47102" w:rsidP="00D47102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ascii="Sylfaen" w:eastAsia="Sylfaen" w:hAnsi="Sylfaen"/>
          <w:sz w:val="20"/>
          <w:szCs w:val="20"/>
          <w:lang w:val="ka-GE"/>
        </w:rPr>
      </w:pPr>
    </w:p>
    <w:p w:rsidR="00B367FB" w:rsidRPr="00B367FB" w:rsidRDefault="00B367FB" w:rsidP="00D4710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Sylfaen" w:eastAsia="Sylfaen" w:hAnsi="Sylfaen"/>
          <w:sz w:val="20"/>
          <w:szCs w:val="20"/>
          <w:lang w:val="ka-GE"/>
        </w:rPr>
      </w:pPr>
      <w:r w:rsidRPr="00B367FB">
        <w:rPr>
          <w:rFonts w:ascii="Sylfaen" w:hAnsi="Sylfaen" w:cs="Sylfaen"/>
          <w:lang w:val="ka-GE"/>
        </w:rPr>
        <w:t>კერძო</w:t>
      </w:r>
      <w:r w:rsidRPr="00B367FB">
        <w:rPr>
          <w:rFonts w:ascii="Sylfaen" w:hAnsi="Sylfaen"/>
          <w:lang w:val="ka-GE"/>
        </w:rPr>
        <w:t xml:space="preserve"> ან ნებაყოფლობითი დაზღვევის მოთხოვნის სტიმულირება;</w:t>
      </w:r>
    </w:p>
    <w:p w:rsidR="00D47102" w:rsidRPr="00D47102" w:rsidRDefault="00D47102" w:rsidP="00D47102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ascii="Sylfaen" w:eastAsia="Sylfaen" w:hAnsi="Sylfaen"/>
          <w:sz w:val="20"/>
          <w:szCs w:val="20"/>
          <w:lang w:val="ka-GE"/>
        </w:rPr>
      </w:pPr>
    </w:p>
    <w:p w:rsidR="00B367FB" w:rsidRPr="00B367FB" w:rsidRDefault="00B367FB" w:rsidP="00D4710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Sylfaen" w:eastAsia="Sylfaen" w:hAnsi="Sylfaen"/>
          <w:sz w:val="20"/>
          <w:szCs w:val="20"/>
          <w:lang w:val="ka-GE"/>
        </w:rPr>
      </w:pPr>
      <w:r w:rsidRPr="00B367FB">
        <w:rPr>
          <w:rFonts w:ascii="Sylfaen" w:hAnsi="Sylfaen" w:cs="Sylfaen"/>
          <w:lang w:val="ka-GE"/>
        </w:rPr>
        <w:t>დაზღვეულთა</w:t>
      </w:r>
      <w:r w:rsidRPr="00B367FB">
        <w:rPr>
          <w:rFonts w:ascii="Sylfaen" w:hAnsi="Sylfaen"/>
          <w:lang w:val="ka-GE"/>
        </w:rPr>
        <w:t xml:space="preserve"> ბაზების  </w:t>
      </w:r>
      <w:r w:rsidR="00D47102">
        <w:rPr>
          <w:rFonts w:ascii="Sylfaen" w:hAnsi="Sylfaen"/>
          <w:lang w:val="ka-GE"/>
        </w:rPr>
        <w:t>ყოველთვიური შედარება</w:t>
      </w:r>
      <w:r w:rsidRPr="00B367FB">
        <w:rPr>
          <w:rFonts w:ascii="Sylfaen" w:hAnsi="Sylfaen"/>
          <w:lang w:val="ka-GE"/>
        </w:rPr>
        <w:t>;</w:t>
      </w:r>
    </w:p>
    <w:p w:rsidR="00D47102" w:rsidRPr="00D47102" w:rsidRDefault="00D47102" w:rsidP="00D47102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ascii="Sylfaen" w:eastAsia="Sylfaen" w:hAnsi="Sylfaen"/>
          <w:sz w:val="20"/>
          <w:szCs w:val="20"/>
          <w:lang w:val="ka-GE"/>
        </w:rPr>
      </w:pPr>
    </w:p>
    <w:p w:rsidR="00B367FB" w:rsidRPr="00B367FB" w:rsidRDefault="00B367FB" w:rsidP="00D4710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Sylfaen" w:eastAsia="Sylfaen" w:hAnsi="Sylfaen"/>
          <w:sz w:val="20"/>
          <w:szCs w:val="20"/>
          <w:lang w:val="ka-GE"/>
        </w:rPr>
      </w:pPr>
      <w:r w:rsidRPr="00B367FB">
        <w:rPr>
          <w:rFonts w:ascii="Sylfaen" w:eastAsia="Sylfaen" w:hAnsi="Sylfaen" w:cs="Sylfaen"/>
          <w:lang w:val="ka-GE"/>
        </w:rPr>
        <w:t>არამიზანობრივი</w:t>
      </w:r>
      <w:r w:rsidRPr="00B367FB">
        <w:rPr>
          <w:rFonts w:ascii="Sylfaen" w:eastAsia="Sylfaen" w:hAnsi="Sylfaen"/>
          <w:lang w:val="ka-GE"/>
        </w:rPr>
        <w:t xml:space="preserve"> და მზარდი გადაუდებელი ინტერვენციების პრევენციის უზრუნვეყოფის მიზნით ხარისხის მართვის მწყობრი სისტემის ჩამოყალიბება ეროვნული გაიდლაინების ბაზაზე და </w:t>
      </w:r>
      <w:r w:rsidR="00D47102">
        <w:rPr>
          <w:rFonts w:ascii="Sylfaen" w:eastAsia="Sylfaen" w:hAnsi="Sylfaen"/>
          <w:lang w:val="ka-GE"/>
        </w:rPr>
        <w:t>კონტროლის</w:t>
      </w:r>
      <w:r w:rsidRPr="00B367FB">
        <w:rPr>
          <w:rFonts w:ascii="Sylfaen" w:eastAsia="Sylfaen" w:hAnsi="Sylfaen"/>
          <w:lang w:val="ka-GE"/>
        </w:rPr>
        <w:t xml:space="preserve"> მექანიზმის რაციონალიზაცია საერთაშორისო პრაქტიკაში აპრობირებული სტანდარტების გამოყენებით:</w:t>
      </w:r>
    </w:p>
    <w:p w:rsidR="00D47102" w:rsidRPr="00D47102" w:rsidRDefault="00D47102" w:rsidP="00D47102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ascii="Sylfaen" w:eastAsia="Sylfaen" w:hAnsi="Sylfaen"/>
          <w:sz w:val="20"/>
          <w:szCs w:val="20"/>
          <w:lang w:val="ka-GE"/>
        </w:rPr>
      </w:pPr>
    </w:p>
    <w:p w:rsidR="00B367FB" w:rsidRPr="00B367FB" w:rsidRDefault="00B367FB" w:rsidP="00D4710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Sylfaen" w:eastAsia="Sylfaen" w:hAnsi="Sylfaen"/>
          <w:sz w:val="20"/>
          <w:szCs w:val="20"/>
          <w:lang w:val="ka-GE"/>
        </w:rPr>
      </w:pPr>
      <w:r w:rsidRPr="00B367FB">
        <w:rPr>
          <w:rFonts w:ascii="Sylfaen" w:eastAsia="Sylfaen" w:hAnsi="Sylfaen" w:cs="Sylfaen"/>
          <w:lang w:val="ka-GE"/>
        </w:rPr>
        <w:t>სამკურნალო</w:t>
      </w:r>
      <w:r w:rsidRPr="00B367FB">
        <w:rPr>
          <w:rFonts w:ascii="Sylfaen" w:eastAsia="Sylfaen" w:hAnsi="Sylfaen"/>
          <w:lang w:val="ka-GE"/>
        </w:rPr>
        <w:t xml:space="preserve"> დაწესებულებების რეგულირების მექანიზმების გაუმჯობესება, მათ შორის სალიცენზიო და სანებართვო პირობებისა და აკრედიტაციის მექანიზმების სრულყოფა;</w:t>
      </w:r>
    </w:p>
    <w:p w:rsidR="00D47102" w:rsidRPr="00D47102" w:rsidRDefault="00D47102" w:rsidP="00D47102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ascii="Sylfaen" w:eastAsia="Sylfaen" w:hAnsi="Sylfaen"/>
          <w:sz w:val="20"/>
          <w:szCs w:val="20"/>
          <w:lang w:val="ka-GE"/>
        </w:rPr>
      </w:pPr>
    </w:p>
    <w:p w:rsidR="00483808" w:rsidRPr="00483808" w:rsidRDefault="00B367FB" w:rsidP="00483808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Sylfaen" w:eastAsia="Sylfaen" w:hAnsi="Sylfaen"/>
          <w:sz w:val="20"/>
          <w:szCs w:val="20"/>
          <w:lang w:val="ka-GE"/>
        </w:rPr>
      </w:pPr>
      <w:r w:rsidRPr="00B367FB">
        <w:rPr>
          <w:rFonts w:ascii="Sylfaen" w:eastAsia="Sylfaen" w:hAnsi="Sylfaen" w:cs="Sylfaen"/>
          <w:lang w:val="ka-GE"/>
        </w:rPr>
        <w:t>უწყვეტი</w:t>
      </w:r>
      <w:r w:rsidRPr="00B367FB">
        <w:rPr>
          <w:rFonts w:ascii="Sylfaen" w:eastAsia="Sylfaen" w:hAnsi="Sylfaen"/>
          <w:lang w:val="ka-GE"/>
        </w:rPr>
        <w:t xml:space="preserve"> პროფესიული განვითარების სისტემის დანერგვა და შესაბამისი სტიმულირების მექანიზმის ამოქმედება</w:t>
      </w:r>
      <w:r w:rsidR="00D47102">
        <w:rPr>
          <w:rFonts w:ascii="Sylfaen" w:eastAsia="Sylfaen" w:hAnsi="Sylfaen"/>
          <w:lang w:val="ka-GE"/>
        </w:rPr>
        <w:t>,</w:t>
      </w:r>
      <w:r w:rsidRPr="00B367FB">
        <w:rPr>
          <w:rFonts w:ascii="Sylfaen" w:eastAsia="Sylfaen" w:hAnsi="Sylfaen"/>
          <w:lang w:val="ka-GE"/>
        </w:rPr>
        <w:t xml:space="preserve"> სამედიცინო პერსონალის მოტივაციისა და კვალიფიკაციის ასამაღლებლად;</w:t>
      </w:r>
    </w:p>
    <w:p w:rsidR="00D47102" w:rsidRPr="00D15A14" w:rsidRDefault="00B367FB" w:rsidP="00D15A14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Sylfaen" w:eastAsia="Sylfaen" w:hAnsi="Sylfaen"/>
          <w:sz w:val="20"/>
          <w:szCs w:val="20"/>
          <w:lang w:val="ka-GE"/>
        </w:rPr>
      </w:pPr>
      <w:r w:rsidRPr="00B367FB">
        <w:rPr>
          <w:rFonts w:ascii="Sylfaen" w:eastAsia="Sylfaen" w:hAnsi="Sylfaen" w:cs="Sylfaen"/>
          <w:lang w:val="ka-GE"/>
        </w:rPr>
        <w:t>პაციენტთა</w:t>
      </w:r>
      <w:r w:rsidRPr="00B367FB">
        <w:rPr>
          <w:rFonts w:ascii="Sylfaen" w:eastAsia="Sylfaen" w:hAnsi="Sylfaen"/>
          <w:lang w:val="ka-GE"/>
        </w:rPr>
        <w:t xml:space="preserve"> უსაფრთხოებისა და უფლებების დაცვის გაძლიერება სამედიცინო შეცდომების სისტემური მართვისა და დავების განხილვის ალტერნატიული მექანიზმების შექმნით;</w:t>
      </w:r>
    </w:p>
    <w:p w:rsidR="00826794" w:rsidRPr="00826794" w:rsidRDefault="00B367FB" w:rsidP="00D4710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Sylfaen" w:eastAsia="Sylfaen" w:hAnsi="Sylfaen"/>
          <w:sz w:val="20"/>
          <w:szCs w:val="20"/>
          <w:lang w:val="ka-GE"/>
        </w:rPr>
      </w:pPr>
      <w:r w:rsidRPr="00826794">
        <w:rPr>
          <w:rFonts w:ascii="Sylfaen" w:eastAsia="Sylfaen" w:hAnsi="Sylfaen" w:cs="Sylfaen"/>
          <w:lang w:val="ka-GE"/>
        </w:rPr>
        <w:lastRenderedPageBreak/>
        <w:t>კლინიკური</w:t>
      </w:r>
      <w:r w:rsidRPr="00826794">
        <w:rPr>
          <w:rFonts w:ascii="Sylfaen" w:eastAsia="Sylfaen" w:hAnsi="Sylfaen"/>
          <w:lang w:val="ka-GE"/>
        </w:rPr>
        <w:t xml:space="preserve"> პრაქტიკის სტანდარტების რეგულარულ</w:t>
      </w:r>
      <w:r w:rsidR="00D47102">
        <w:rPr>
          <w:rFonts w:ascii="Sylfaen" w:eastAsia="Sylfaen" w:hAnsi="Sylfaen"/>
          <w:lang w:val="ka-GE"/>
        </w:rPr>
        <w:t>ი</w:t>
      </w:r>
      <w:r w:rsidRPr="00826794">
        <w:rPr>
          <w:rFonts w:ascii="Sylfaen" w:eastAsia="Sylfaen" w:hAnsi="Sylfaen"/>
          <w:lang w:val="ka-GE"/>
        </w:rPr>
        <w:t xml:space="preserve"> განახლება და დანერგვა;</w:t>
      </w:r>
    </w:p>
    <w:p w:rsidR="00D47102" w:rsidRPr="00D47102" w:rsidRDefault="00D47102" w:rsidP="00D47102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ascii="Sylfaen" w:eastAsia="Sylfaen" w:hAnsi="Sylfaen"/>
          <w:sz w:val="20"/>
          <w:szCs w:val="20"/>
          <w:lang w:val="ka-GE"/>
        </w:rPr>
      </w:pPr>
    </w:p>
    <w:p w:rsidR="00826794" w:rsidRPr="00826794" w:rsidRDefault="00B367FB" w:rsidP="00D4710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Sylfaen" w:eastAsia="Sylfaen" w:hAnsi="Sylfaen"/>
          <w:sz w:val="20"/>
          <w:szCs w:val="20"/>
          <w:lang w:val="ka-GE"/>
        </w:rPr>
      </w:pPr>
      <w:r w:rsidRPr="00826794">
        <w:rPr>
          <w:rFonts w:ascii="Sylfaen" w:hAnsi="Sylfaen" w:cs="Sylfaen"/>
          <w:lang w:val="ka-GE"/>
        </w:rPr>
        <w:t>პჯდ</w:t>
      </w:r>
      <w:r w:rsidRPr="00826794">
        <w:rPr>
          <w:rFonts w:ascii="Sylfaen" w:hAnsi="Sylfaen"/>
          <w:lang w:val="ka-GE"/>
        </w:rPr>
        <w:t xml:space="preserve"> ექიმების გადამზადება და მოტივაციის სისტემის შექმნა;</w:t>
      </w:r>
    </w:p>
    <w:p w:rsidR="00D47102" w:rsidRPr="00D47102" w:rsidRDefault="00D47102" w:rsidP="00D47102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ascii="Sylfaen" w:eastAsia="Sylfaen" w:hAnsi="Sylfaen"/>
          <w:sz w:val="20"/>
          <w:szCs w:val="20"/>
          <w:lang w:val="ka-GE"/>
        </w:rPr>
      </w:pPr>
    </w:p>
    <w:p w:rsidR="00B367FB" w:rsidRPr="00826794" w:rsidRDefault="00B367FB" w:rsidP="00D4710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Sylfaen" w:eastAsia="Sylfaen" w:hAnsi="Sylfaen"/>
          <w:sz w:val="20"/>
          <w:szCs w:val="20"/>
          <w:lang w:val="ka-GE"/>
        </w:rPr>
      </w:pPr>
      <w:r w:rsidRPr="00826794">
        <w:rPr>
          <w:rFonts w:ascii="Sylfaen" w:hAnsi="Sylfaen"/>
        </w:rPr>
        <w:t>SSA</w:t>
      </w:r>
      <w:r w:rsidRPr="00826794">
        <w:rPr>
          <w:rFonts w:ascii="Sylfaen" w:hAnsi="Sylfaen"/>
          <w:lang w:val="ka-GE"/>
        </w:rPr>
        <w:t xml:space="preserve">-ს ანალიტიკური შესაძლებლობების გაძლიერება ყოველდღიური ოპერაციების </w:t>
      </w:r>
      <w:r w:rsidR="00D47102">
        <w:rPr>
          <w:rFonts w:ascii="Sylfaen" w:hAnsi="Sylfaen"/>
          <w:lang w:val="ka-GE"/>
        </w:rPr>
        <w:t>მხარდასაჭერად.</w:t>
      </w:r>
    </w:p>
    <w:p w:rsidR="00B367FB" w:rsidRDefault="00B367FB" w:rsidP="00130ED7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B367FB" w:rsidRPr="00891D17" w:rsidRDefault="00B367FB" w:rsidP="00130ED7">
      <w:pPr>
        <w:pStyle w:val="ListParagraph"/>
        <w:jc w:val="both"/>
        <w:rPr>
          <w:rFonts w:ascii="Sylfaen" w:hAnsi="Sylfaen"/>
          <w:lang w:val="ka-GE"/>
        </w:rPr>
      </w:pPr>
    </w:p>
    <w:p w:rsidR="001679C2" w:rsidRDefault="001679C2" w:rsidP="00130ED7">
      <w:pPr>
        <w:jc w:val="both"/>
        <w:rPr>
          <w:rFonts w:ascii="Sylfaen" w:hAnsi="Sylfaen"/>
          <w:lang w:val="ka-GE"/>
        </w:rPr>
      </w:pPr>
    </w:p>
    <w:p w:rsidR="001679C2" w:rsidRDefault="001679C2" w:rsidP="00130ED7">
      <w:pPr>
        <w:jc w:val="both"/>
        <w:rPr>
          <w:rFonts w:ascii="Sylfaen" w:hAnsi="Sylfaen"/>
          <w:lang w:val="ka-GE"/>
        </w:rPr>
      </w:pPr>
    </w:p>
    <w:p w:rsidR="001679C2" w:rsidRPr="001679C2" w:rsidRDefault="001679C2" w:rsidP="00130ED7">
      <w:pPr>
        <w:jc w:val="both"/>
        <w:rPr>
          <w:rFonts w:ascii="Sylfaen" w:hAnsi="Sylfaen"/>
          <w:lang w:val="ka-GE"/>
        </w:rPr>
      </w:pPr>
    </w:p>
    <w:p w:rsidR="00162059" w:rsidRPr="00162059" w:rsidRDefault="00162059" w:rsidP="00130ED7">
      <w:pPr>
        <w:jc w:val="both"/>
        <w:rPr>
          <w:rFonts w:ascii="Sylfaen" w:hAnsi="Sylfaen"/>
        </w:rPr>
      </w:pPr>
    </w:p>
    <w:p w:rsidR="00162059" w:rsidRPr="00EA66B3" w:rsidRDefault="00162059" w:rsidP="00130ED7">
      <w:pPr>
        <w:jc w:val="both"/>
        <w:rPr>
          <w:rFonts w:ascii="Sylfaen" w:hAnsi="Sylfaen"/>
        </w:rPr>
      </w:pPr>
    </w:p>
    <w:p w:rsidR="00EA66B3" w:rsidRPr="00EA66B3" w:rsidRDefault="00EA66B3" w:rsidP="00130ED7">
      <w:pPr>
        <w:jc w:val="both"/>
        <w:rPr>
          <w:rFonts w:ascii="Sylfaen" w:hAnsi="Sylfaen"/>
        </w:rPr>
      </w:pPr>
    </w:p>
    <w:p w:rsidR="00F66E9B" w:rsidRPr="003517C5" w:rsidRDefault="00F66E9B" w:rsidP="00130ED7">
      <w:pPr>
        <w:jc w:val="both"/>
        <w:rPr>
          <w:rFonts w:ascii="Sylfaen" w:hAnsi="Sylfaen"/>
          <w:lang w:val="ka-GE"/>
        </w:rPr>
      </w:pPr>
    </w:p>
    <w:p w:rsidR="00F66E9B" w:rsidRDefault="00F66E9B" w:rsidP="00130ED7">
      <w:pPr>
        <w:jc w:val="both"/>
        <w:rPr>
          <w:rFonts w:ascii="Sylfaen" w:hAnsi="Sylfaen"/>
          <w:lang w:val="ka-GE"/>
        </w:rPr>
      </w:pPr>
    </w:p>
    <w:p w:rsidR="00F66E9B" w:rsidRPr="006464C0" w:rsidRDefault="00F66E9B" w:rsidP="00130ED7">
      <w:pPr>
        <w:jc w:val="both"/>
        <w:rPr>
          <w:rFonts w:ascii="Sylfaen" w:hAnsi="Sylfaen"/>
        </w:rPr>
      </w:pPr>
    </w:p>
    <w:sectPr w:rsidR="00F66E9B" w:rsidRPr="006464C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BDE" w:rsidRDefault="00761BDE" w:rsidP="007E6216">
      <w:pPr>
        <w:spacing w:after="0" w:line="240" w:lineRule="auto"/>
      </w:pPr>
      <w:r>
        <w:separator/>
      </w:r>
    </w:p>
  </w:endnote>
  <w:endnote w:type="continuationSeparator" w:id="0">
    <w:p w:rsidR="00761BDE" w:rsidRDefault="00761BDE" w:rsidP="007E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BDE" w:rsidRDefault="00761BDE" w:rsidP="007E6216">
      <w:pPr>
        <w:spacing w:after="0" w:line="240" w:lineRule="auto"/>
      </w:pPr>
      <w:r>
        <w:separator/>
      </w:r>
    </w:p>
  </w:footnote>
  <w:footnote w:type="continuationSeparator" w:id="0">
    <w:p w:rsidR="00761BDE" w:rsidRDefault="00761BDE" w:rsidP="007E6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06BB"/>
    <w:multiLevelType w:val="hybridMultilevel"/>
    <w:tmpl w:val="AC6E75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5D2B94"/>
    <w:multiLevelType w:val="hybridMultilevel"/>
    <w:tmpl w:val="F98E7BCE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3AE5ED8"/>
    <w:multiLevelType w:val="hybridMultilevel"/>
    <w:tmpl w:val="8D50D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246CF"/>
    <w:multiLevelType w:val="hybridMultilevel"/>
    <w:tmpl w:val="8DDA6B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73015"/>
    <w:multiLevelType w:val="hybridMultilevel"/>
    <w:tmpl w:val="570CD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C5DAA"/>
    <w:multiLevelType w:val="hybridMultilevel"/>
    <w:tmpl w:val="F27AC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6B4736"/>
    <w:multiLevelType w:val="hybridMultilevel"/>
    <w:tmpl w:val="106C6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32534"/>
    <w:multiLevelType w:val="hybridMultilevel"/>
    <w:tmpl w:val="CC14B37E"/>
    <w:lvl w:ilvl="0" w:tplc="7B3290FE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12260"/>
    <w:multiLevelType w:val="hybridMultilevel"/>
    <w:tmpl w:val="FFA2A3B8"/>
    <w:lvl w:ilvl="0" w:tplc="8A3496E2">
      <w:start w:val="1"/>
      <w:numFmt w:val="bullet"/>
      <w:lvlText w:val=""/>
      <w:lvlJc w:val="left"/>
      <w:pPr>
        <w:ind w:left="108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A133D52"/>
    <w:multiLevelType w:val="hybridMultilevel"/>
    <w:tmpl w:val="71CE552A"/>
    <w:lvl w:ilvl="0" w:tplc="8A3496E2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6F4146"/>
    <w:multiLevelType w:val="hybridMultilevel"/>
    <w:tmpl w:val="D4AA3C36"/>
    <w:lvl w:ilvl="0" w:tplc="8A3496E2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AF4AF2"/>
    <w:multiLevelType w:val="hybridMultilevel"/>
    <w:tmpl w:val="C69AC002"/>
    <w:lvl w:ilvl="0" w:tplc="8A3496E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A2099C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E389F3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67E341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33C0AA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F5A57A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1EA8C9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684F74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7DEC79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58EB7738"/>
    <w:multiLevelType w:val="hybridMultilevel"/>
    <w:tmpl w:val="ED36DEBE"/>
    <w:lvl w:ilvl="0" w:tplc="8A3496E2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3E2704"/>
    <w:multiLevelType w:val="hybridMultilevel"/>
    <w:tmpl w:val="150CC6E4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0CA7B82"/>
    <w:multiLevelType w:val="hybridMultilevel"/>
    <w:tmpl w:val="E656330A"/>
    <w:lvl w:ilvl="0" w:tplc="6AF013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FC71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46BE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6E49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B230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4C79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488E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6CF3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3898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40B4131"/>
    <w:multiLevelType w:val="hybridMultilevel"/>
    <w:tmpl w:val="4928EFE2"/>
    <w:lvl w:ilvl="0" w:tplc="8A3496E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E862B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5ED6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1AD9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BE1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C081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686A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6880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30AF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101066"/>
    <w:multiLevelType w:val="hybridMultilevel"/>
    <w:tmpl w:val="BEB4813C"/>
    <w:lvl w:ilvl="0" w:tplc="73D89DBA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D6C70E" w:tentative="1">
      <w:start w:val="1"/>
      <w:numFmt w:val="bullet"/>
      <w:lvlText w:val="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EAAE29A" w:tentative="1">
      <w:start w:val="1"/>
      <w:numFmt w:val="bullet"/>
      <w:lvlText w:val="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1DA46F8" w:tentative="1">
      <w:start w:val="1"/>
      <w:numFmt w:val="bullet"/>
      <w:lvlText w:val="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41864B8" w:tentative="1">
      <w:start w:val="1"/>
      <w:numFmt w:val="bullet"/>
      <w:lvlText w:val="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12CA70" w:tentative="1">
      <w:start w:val="1"/>
      <w:numFmt w:val="bullet"/>
      <w:lvlText w:val="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CDA4FEE" w:tentative="1">
      <w:start w:val="1"/>
      <w:numFmt w:val="bullet"/>
      <w:lvlText w:val="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FD6132A" w:tentative="1">
      <w:start w:val="1"/>
      <w:numFmt w:val="bullet"/>
      <w:lvlText w:val="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24FC58" w:tentative="1">
      <w:start w:val="1"/>
      <w:numFmt w:val="bullet"/>
      <w:lvlText w:val="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6DAD663A"/>
    <w:multiLevelType w:val="hybridMultilevel"/>
    <w:tmpl w:val="0DA25D3C"/>
    <w:lvl w:ilvl="0" w:tplc="413CEF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862B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5ED6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1AD9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BE1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C081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686A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6880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30AF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EA7A9D"/>
    <w:multiLevelType w:val="hybridMultilevel"/>
    <w:tmpl w:val="2B747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E62186"/>
    <w:multiLevelType w:val="hybridMultilevel"/>
    <w:tmpl w:val="B6544BD0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>
    <w:nsid w:val="7864592A"/>
    <w:multiLevelType w:val="hybridMultilevel"/>
    <w:tmpl w:val="D05252E2"/>
    <w:lvl w:ilvl="0" w:tplc="8A3496E2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6"/>
  </w:num>
  <w:num w:numId="4">
    <w:abstractNumId w:val="18"/>
  </w:num>
  <w:num w:numId="5">
    <w:abstractNumId w:val="6"/>
  </w:num>
  <w:num w:numId="6">
    <w:abstractNumId w:val="7"/>
  </w:num>
  <w:num w:numId="7">
    <w:abstractNumId w:val="13"/>
  </w:num>
  <w:num w:numId="8">
    <w:abstractNumId w:val="0"/>
  </w:num>
  <w:num w:numId="9">
    <w:abstractNumId w:val="5"/>
  </w:num>
  <w:num w:numId="10">
    <w:abstractNumId w:val="1"/>
  </w:num>
  <w:num w:numId="11">
    <w:abstractNumId w:val="11"/>
  </w:num>
  <w:num w:numId="12">
    <w:abstractNumId w:val="19"/>
  </w:num>
  <w:num w:numId="13">
    <w:abstractNumId w:val="3"/>
  </w:num>
  <w:num w:numId="14">
    <w:abstractNumId w:val="2"/>
  </w:num>
  <w:num w:numId="15">
    <w:abstractNumId w:val="20"/>
  </w:num>
  <w:num w:numId="16">
    <w:abstractNumId w:val="8"/>
  </w:num>
  <w:num w:numId="17">
    <w:abstractNumId w:val="12"/>
  </w:num>
  <w:num w:numId="18">
    <w:abstractNumId w:val="10"/>
  </w:num>
  <w:num w:numId="19">
    <w:abstractNumId w:val="9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A0"/>
    <w:rsid w:val="00007D36"/>
    <w:rsid w:val="00050B1E"/>
    <w:rsid w:val="000C0EA2"/>
    <w:rsid w:val="00122FA3"/>
    <w:rsid w:val="00130ED7"/>
    <w:rsid w:val="00162059"/>
    <w:rsid w:val="001679C2"/>
    <w:rsid w:val="002018BD"/>
    <w:rsid w:val="0028750F"/>
    <w:rsid w:val="002C17D9"/>
    <w:rsid w:val="002E1DF5"/>
    <w:rsid w:val="003517C5"/>
    <w:rsid w:val="003C0B87"/>
    <w:rsid w:val="00483808"/>
    <w:rsid w:val="005708A5"/>
    <w:rsid w:val="005E3E57"/>
    <w:rsid w:val="006464C0"/>
    <w:rsid w:val="00707F1C"/>
    <w:rsid w:val="00745372"/>
    <w:rsid w:val="00761BDE"/>
    <w:rsid w:val="007A4C71"/>
    <w:rsid w:val="007E6216"/>
    <w:rsid w:val="00826794"/>
    <w:rsid w:val="00835698"/>
    <w:rsid w:val="00891D17"/>
    <w:rsid w:val="008E33AE"/>
    <w:rsid w:val="00A07B93"/>
    <w:rsid w:val="00A433F0"/>
    <w:rsid w:val="00A77F03"/>
    <w:rsid w:val="00A82469"/>
    <w:rsid w:val="00B367FB"/>
    <w:rsid w:val="00B3700B"/>
    <w:rsid w:val="00B7364E"/>
    <w:rsid w:val="00B934E5"/>
    <w:rsid w:val="00BF35F3"/>
    <w:rsid w:val="00C11224"/>
    <w:rsid w:val="00CD558A"/>
    <w:rsid w:val="00D15A14"/>
    <w:rsid w:val="00D47102"/>
    <w:rsid w:val="00D65E66"/>
    <w:rsid w:val="00D673CA"/>
    <w:rsid w:val="00D76E56"/>
    <w:rsid w:val="00E63595"/>
    <w:rsid w:val="00E82ECB"/>
    <w:rsid w:val="00E9032E"/>
    <w:rsid w:val="00E9358F"/>
    <w:rsid w:val="00EA66B3"/>
    <w:rsid w:val="00EC711B"/>
    <w:rsid w:val="00F37DF9"/>
    <w:rsid w:val="00F66E9B"/>
    <w:rsid w:val="00F67A54"/>
    <w:rsid w:val="00F85AA0"/>
    <w:rsid w:val="00F9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C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2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21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216"/>
  </w:style>
  <w:style w:type="paragraph" w:styleId="Footer">
    <w:name w:val="footer"/>
    <w:basedOn w:val="Normal"/>
    <w:link w:val="FooterChar"/>
    <w:uiPriority w:val="99"/>
    <w:unhideWhenUsed/>
    <w:rsid w:val="007E621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216"/>
  </w:style>
  <w:style w:type="paragraph" w:styleId="NormalWeb">
    <w:name w:val="Normal (Web)"/>
    <w:basedOn w:val="Normal"/>
    <w:uiPriority w:val="99"/>
    <w:semiHidden/>
    <w:unhideWhenUsed/>
    <w:rsid w:val="00EA6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C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2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21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216"/>
  </w:style>
  <w:style w:type="paragraph" w:styleId="Footer">
    <w:name w:val="footer"/>
    <w:basedOn w:val="Normal"/>
    <w:link w:val="FooterChar"/>
    <w:uiPriority w:val="99"/>
    <w:unhideWhenUsed/>
    <w:rsid w:val="007E621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216"/>
  </w:style>
  <w:style w:type="paragraph" w:styleId="NormalWeb">
    <w:name w:val="Normal (Web)"/>
    <w:basedOn w:val="Normal"/>
    <w:uiPriority w:val="99"/>
    <w:semiHidden/>
    <w:unhideWhenUsed/>
    <w:rsid w:val="00EA6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142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3204">
          <w:marLeft w:val="576"/>
          <w:marRight w:val="0"/>
          <w:marTop w:val="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2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7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126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63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01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6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60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tbakradze\Desktop\10%20&#4316;&#4317;&#4308;&#4315;&#4305;&#4320;&#4312;&#4321;%20&#4326;&#4317;&#4316;&#4312;&#4321;&#4331;&#4308;&#4312;&#4305;&#4304;\&#4335;&#4304;&#4316;&#4307;&#4304;&#4330;&#4309;&#4304;-&#4318;&#4320;&#4317;&#4308;&#4325;&#4322;&#4308;&#4305;&#4312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Users\tbakradze\Desktop\10%20&#4316;&#4317;&#4308;&#4315;&#4305;&#4320;&#4312;&#4321;%20&#4326;&#4317;&#4316;&#4312;&#4321;&#4331;&#4308;&#4312;&#4305;&#4304;\&#4335;&#4304;&#4316;&#4307;&#4304;&#4330;&#4309;&#4304;-&#4318;&#4320;&#4317;&#4308;&#4325;&#4322;&#4308;&#4305;&#4312;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/>
              <a:t>საყოველთაო ჯანდაცვის პროგრამის ფარგლებში გაცემული თანხა</a:t>
            </a:r>
            <a:r>
              <a:rPr lang="ka-GE" sz="1200" baseline="0"/>
              <a:t> </a:t>
            </a:r>
            <a:endParaRPr lang="ka-GE" sz="1200"/>
          </a:p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/>
              <a:t>წლების</a:t>
            </a:r>
            <a:r>
              <a:rPr lang="ka-GE" sz="1200" baseline="0"/>
              <a:t> მიხედვით</a:t>
            </a:r>
            <a:endParaRPr lang="ka-GE" sz="1200"/>
          </a:p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 sz="1200"/>
          </a:p>
        </c:rich>
      </c:tx>
      <c:layout>
        <c:manualLayout>
          <c:xMode val="edge"/>
          <c:yMode val="edge"/>
          <c:x val="0.10877697841726619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1.2688641506018644E-2"/>
          <c:y val="0.15527602527944875"/>
          <c:w val="0.98561755320153321"/>
          <c:h val="0.69553870983518362"/>
        </c:manualLayout>
      </c:layout>
      <c:lineChart>
        <c:grouping val="standard"/>
        <c:varyColors val="0"/>
        <c:ser>
          <c:idx val="0"/>
          <c:order val="0"/>
          <c:tx>
            <c:v>2015</c:v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მთლიანი!$D$97:$O$97</c:f>
              <c:strCache>
                <c:ptCount val="12"/>
                <c:pt idx="0">
                  <c:v>იანვარი</c:v>
                </c:pt>
                <c:pt idx="1">
                  <c:v>თებერვალი</c:v>
                </c:pt>
                <c:pt idx="2">
                  <c:v>მარტი</c:v>
                </c:pt>
                <c:pt idx="3">
                  <c:v>აპრილი</c:v>
                </c:pt>
                <c:pt idx="4">
                  <c:v>მაისი</c:v>
                </c:pt>
                <c:pt idx="5">
                  <c:v>ივნისი</c:v>
                </c:pt>
                <c:pt idx="6">
                  <c:v>ივლისი</c:v>
                </c:pt>
                <c:pt idx="7">
                  <c:v>აგვისტო</c:v>
                </c:pt>
                <c:pt idx="8">
                  <c:v>სექტემბერი</c:v>
                </c:pt>
                <c:pt idx="9">
                  <c:v>ოქტომბერი</c:v>
                </c:pt>
                <c:pt idx="10">
                  <c:v>ნოემბერი</c:v>
                </c:pt>
                <c:pt idx="11">
                  <c:v>დეკემბერი</c:v>
                </c:pt>
              </c:strCache>
            </c:strRef>
          </c:cat>
          <c:val>
            <c:numRef>
              <c:f>მთლიანი!$D$98:$O$98</c:f>
              <c:numCache>
                <c:formatCode>#,##0</c:formatCode>
                <c:ptCount val="12"/>
                <c:pt idx="0">
                  <c:v>42770377.530000001</c:v>
                </c:pt>
                <c:pt idx="1">
                  <c:v>48675405.020000003</c:v>
                </c:pt>
                <c:pt idx="2">
                  <c:v>59823607.890000001</c:v>
                </c:pt>
                <c:pt idx="3">
                  <c:v>46794395.050000004</c:v>
                </c:pt>
                <c:pt idx="4">
                  <c:v>48278191.319999993</c:v>
                </c:pt>
                <c:pt idx="5">
                  <c:v>48497435.509999998</c:v>
                </c:pt>
                <c:pt idx="6">
                  <c:v>49546436.839999981</c:v>
                </c:pt>
                <c:pt idx="7">
                  <c:v>46474165.900000006</c:v>
                </c:pt>
                <c:pt idx="8">
                  <c:v>44377500.640000001</c:v>
                </c:pt>
                <c:pt idx="9">
                  <c:v>48534460.350000016</c:v>
                </c:pt>
                <c:pt idx="10">
                  <c:v>50060807.780000001</c:v>
                </c:pt>
                <c:pt idx="11">
                  <c:v>53754440.309999995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FB4-4A79-A052-1C255D82D32D}"/>
            </c:ext>
          </c:extLst>
        </c:ser>
        <c:ser>
          <c:idx val="1"/>
          <c:order val="1"/>
          <c:tx>
            <c:v>2016</c:v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მთლიანი!$D$97:$O$97</c:f>
              <c:strCache>
                <c:ptCount val="12"/>
                <c:pt idx="0">
                  <c:v>იანვარი</c:v>
                </c:pt>
                <c:pt idx="1">
                  <c:v>თებერვალი</c:v>
                </c:pt>
                <c:pt idx="2">
                  <c:v>მარტი</c:v>
                </c:pt>
                <c:pt idx="3">
                  <c:v>აპრილი</c:v>
                </c:pt>
                <c:pt idx="4">
                  <c:v>მაისი</c:v>
                </c:pt>
                <c:pt idx="5">
                  <c:v>ივნისი</c:v>
                </c:pt>
                <c:pt idx="6">
                  <c:v>ივლისი</c:v>
                </c:pt>
                <c:pt idx="7">
                  <c:v>აგვისტო</c:v>
                </c:pt>
                <c:pt idx="8">
                  <c:v>სექტემბერი</c:v>
                </c:pt>
                <c:pt idx="9">
                  <c:v>ოქტომბერი</c:v>
                </c:pt>
                <c:pt idx="10">
                  <c:v>ნოემბერი</c:v>
                </c:pt>
                <c:pt idx="11">
                  <c:v>დეკემბერი</c:v>
                </c:pt>
              </c:strCache>
            </c:strRef>
          </c:cat>
          <c:val>
            <c:numRef>
              <c:f>მთლიანი!$D$99:$O$99</c:f>
              <c:numCache>
                <c:formatCode>#,##0</c:formatCode>
                <c:ptCount val="12"/>
                <c:pt idx="0">
                  <c:v>50488595.370000012</c:v>
                </c:pt>
                <c:pt idx="1">
                  <c:v>59573447.82</c:v>
                </c:pt>
                <c:pt idx="2">
                  <c:v>59781061.780000009</c:v>
                </c:pt>
                <c:pt idx="3">
                  <c:v>55835155.79999999</c:v>
                </c:pt>
                <c:pt idx="4">
                  <c:v>53216168.200000003</c:v>
                </c:pt>
                <c:pt idx="5">
                  <c:v>54684198.04999999</c:v>
                </c:pt>
                <c:pt idx="6">
                  <c:v>53986112.870000005</c:v>
                </c:pt>
                <c:pt idx="7">
                  <c:v>51823778.13000001</c:v>
                </c:pt>
                <c:pt idx="8">
                  <c:v>51346804.550000004</c:v>
                </c:pt>
                <c:pt idx="9">
                  <c:v>56003434.159999996</c:v>
                </c:pt>
                <c:pt idx="10">
                  <c:v>58691495.979999997</c:v>
                </c:pt>
                <c:pt idx="11">
                  <c:v>65376099.82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4FB4-4A79-A052-1C255D82D32D}"/>
            </c:ext>
          </c:extLst>
        </c:ser>
        <c:ser>
          <c:idx val="2"/>
          <c:order val="2"/>
          <c:tx>
            <c:v>2017</c:v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1.7266187050359712E-2"/>
                  <c:y val="-1.9323671497584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9184652278177458E-3"/>
                  <c:y val="-3.31262939958592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9184652278177458E-3"/>
                  <c:y val="-2.48447204968944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5635491606714625E-2"/>
                  <c:y val="-1.10420979986197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მთლიანი!$D$97:$O$97</c:f>
              <c:strCache>
                <c:ptCount val="12"/>
                <c:pt idx="0">
                  <c:v>იანვარი</c:v>
                </c:pt>
                <c:pt idx="1">
                  <c:v>თებერვალი</c:v>
                </c:pt>
                <c:pt idx="2">
                  <c:v>მარტი</c:v>
                </c:pt>
                <c:pt idx="3">
                  <c:v>აპრილი</c:v>
                </c:pt>
                <c:pt idx="4">
                  <c:v>მაისი</c:v>
                </c:pt>
                <c:pt idx="5">
                  <c:v>ივნისი</c:v>
                </c:pt>
                <c:pt idx="6">
                  <c:v>ივლისი</c:v>
                </c:pt>
                <c:pt idx="7">
                  <c:v>აგვისტო</c:v>
                </c:pt>
                <c:pt idx="8">
                  <c:v>სექტემბერი</c:v>
                </c:pt>
                <c:pt idx="9">
                  <c:v>ოქტომბერი</c:v>
                </c:pt>
                <c:pt idx="10">
                  <c:v>ნოემბერი</c:v>
                </c:pt>
                <c:pt idx="11">
                  <c:v>დეკემბერი</c:v>
                </c:pt>
              </c:strCache>
            </c:strRef>
          </c:cat>
          <c:val>
            <c:numRef>
              <c:f>მთლიანი!$D$100:$O$100</c:f>
              <c:numCache>
                <c:formatCode>#,##0</c:formatCode>
                <c:ptCount val="12"/>
                <c:pt idx="0">
                  <c:v>59564322.760000013</c:v>
                </c:pt>
                <c:pt idx="1">
                  <c:v>58478115.700000003</c:v>
                </c:pt>
                <c:pt idx="2">
                  <c:v>61889272.660000004</c:v>
                </c:pt>
                <c:pt idx="3">
                  <c:v>55603459.06000001</c:v>
                </c:pt>
                <c:pt idx="4">
                  <c:v>54947054.069999993</c:v>
                </c:pt>
                <c:pt idx="5">
                  <c:v>54674346.43</c:v>
                </c:pt>
                <c:pt idx="6">
                  <c:v>52319721.660000004</c:v>
                </c:pt>
                <c:pt idx="7">
                  <c:v>47845812.68</c:v>
                </c:pt>
                <c:pt idx="8">
                  <c:v>46059294.000000007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4FB4-4A79-A052-1C255D82D3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79264"/>
        <c:axId val="98380800"/>
      </c:lineChart>
      <c:catAx>
        <c:axId val="98379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8380800"/>
        <c:crosses val="autoZero"/>
        <c:auto val="1"/>
        <c:lblAlgn val="ctr"/>
        <c:lblOffset val="100"/>
        <c:noMultiLvlLbl val="0"/>
      </c:catAx>
      <c:valAx>
        <c:axId val="9838080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98379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5200582408950704"/>
          <c:y val="0.95341582302212224"/>
          <c:w val="0.29598819855547254"/>
          <c:h val="4.65841769778777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/>
              <a:t>საყოველთაო ჯანდაცვის პროგრამის ფარგლებში გაცემული თანხა </a:t>
            </a:r>
          </a:p>
        </c:rich>
      </c:tx>
      <c:layout>
        <c:manualLayout>
          <c:xMode val="edge"/>
          <c:yMode val="edge"/>
          <c:x val="0.11117478510028653"/>
          <c:y val="1.606617354648851E-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1.5974550459129572E-2"/>
          <c:y val="6.6653764239066077E-2"/>
          <c:w val="0.96714722980544332"/>
          <c:h val="0.84955663370361534"/>
        </c:manualLayout>
      </c:layout>
      <c:lineChart>
        <c:grouping val="standard"/>
        <c:varyColors val="0"/>
        <c:ser>
          <c:idx val="0"/>
          <c:order val="0"/>
          <c:tx>
            <c:strRef>
              <c:f>მთლიანი!$B$6</c:f>
              <c:strCache>
                <c:ptCount val="1"/>
                <c:pt idx="0">
                  <c:v>Sum of მოთხოვნილი თანხა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5"/>
              <c:layout>
                <c:manualLayout>
                  <c:x val="0"/>
                  <c:y val="-2.91806958473625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delete val="1"/>
            </c:dLbl>
            <c:dLbl>
              <c:idx val="12"/>
              <c:delete val="1"/>
            </c:dLbl>
            <c:dLbl>
              <c:idx val="13"/>
              <c:layout>
                <c:manualLayout>
                  <c:x val="3.2473734479465138E-2"/>
                  <c:y val="-2.24466891133555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-6.8767908309455589E-2"/>
                  <c:y val="-1.57126823793490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1.1461318051576002E-2"/>
                  <c:y val="0.148148148148148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>
                <c:manualLayout>
                  <c:x val="5.3486150907354348E-2"/>
                  <c:y val="-4.48933782267115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0"/>
              <c:layout>
                <c:manualLayout>
                  <c:x val="-5.3486150907354348E-2"/>
                  <c:y val="1.12233445566778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8"/>
              <c:layout>
                <c:manualLayout>
                  <c:x val="-4.775549188156638E-2"/>
                  <c:y val="1.79571745451010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მთლიანი!$C$5:$AI$5</c:f>
              <c:strCache>
                <c:ptCount val="33"/>
                <c:pt idx="0">
                  <c:v>2015-01</c:v>
                </c:pt>
                <c:pt idx="1">
                  <c:v>2015-02</c:v>
                </c:pt>
                <c:pt idx="2">
                  <c:v>2015-03</c:v>
                </c:pt>
                <c:pt idx="3">
                  <c:v>2015-04</c:v>
                </c:pt>
                <c:pt idx="4">
                  <c:v>2015-05</c:v>
                </c:pt>
                <c:pt idx="5">
                  <c:v>2015-06</c:v>
                </c:pt>
                <c:pt idx="6">
                  <c:v>2015-07</c:v>
                </c:pt>
                <c:pt idx="7">
                  <c:v>2015-08</c:v>
                </c:pt>
                <c:pt idx="8">
                  <c:v>2015-09</c:v>
                </c:pt>
                <c:pt idx="9">
                  <c:v>2015-10</c:v>
                </c:pt>
                <c:pt idx="10">
                  <c:v>2015-11</c:v>
                </c:pt>
                <c:pt idx="11">
                  <c:v>2015-12</c:v>
                </c:pt>
                <c:pt idx="12">
                  <c:v>2016-01</c:v>
                </c:pt>
                <c:pt idx="13">
                  <c:v>2016-02</c:v>
                </c:pt>
                <c:pt idx="14">
                  <c:v>2016-03</c:v>
                </c:pt>
                <c:pt idx="15">
                  <c:v>2016-04</c:v>
                </c:pt>
                <c:pt idx="16">
                  <c:v>2016-05</c:v>
                </c:pt>
                <c:pt idx="17">
                  <c:v>2016-06</c:v>
                </c:pt>
                <c:pt idx="18">
                  <c:v>2016-07</c:v>
                </c:pt>
                <c:pt idx="19">
                  <c:v>2016-08</c:v>
                </c:pt>
                <c:pt idx="20">
                  <c:v>2016-09</c:v>
                </c:pt>
                <c:pt idx="21">
                  <c:v>2016-10</c:v>
                </c:pt>
                <c:pt idx="22">
                  <c:v>2016-11</c:v>
                </c:pt>
                <c:pt idx="23">
                  <c:v>2016-12</c:v>
                </c:pt>
                <c:pt idx="24">
                  <c:v>2017-01</c:v>
                </c:pt>
                <c:pt idx="25">
                  <c:v>2017-02</c:v>
                </c:pt>
                <c:pt idx="26">
                  <c:v>2017-03</c:v>
                </c:pt>
                <c:pt idx="27">
                  <c:v>2017-04</c:v>
                </c:pt>
                <c:pt idx="28">
                  <c:v>2017-05</c:v>
                </c:pt>
                <c:pt idx="29">
                  <c:v>2017-06</c:v>
                </c:pt>
                <c:pt idx="30">
                  <c:v>2017-07</c:v>
                </c:pt>
                <c:pt idx="31">
                  <c:v>2017-08</c:v>
                </c:pt>
                <c:pt idx="32">
                  <c:v>2017-09</c:v>
                </c:pt>
              </c:strCache>
            </c:strRef>
          </c:cat>
          <c:val>
            <c:numRef>
              <c:f>მთლიანი!$C$6:$AI$6</c:f>
              <c:numCache>
                <c:formatCode>#,##0</c:formatCode>
                <c:ptCount val="33"/>
                <c:pt idx="0">
                  <c:v>42770377.530000001</c:v>
                </c:pt>
                <c:pt idx="1">
                  <c:v>48675405.020000003</c:v>
                </c:pt>
                <c:pt idx="2">
                  <c:v>59823607.890000001</c:v>
                </c:pt>
                <c:pt idx="3">
                  <c:v>46794395.050000004</c:v>
                </c:pt>
                <c:pt idx="4">
                  <c:v>48278191.319999993</c:v>
                </c:pt>
                <c:pt idx="5">
                  <c:v>48497435.509999998</c:v>
                </c:pt>
                <c:pt idx="6">
                  <c:v>49546436.839999981</c:v>
                </c:pt>
                <c:pt idx="7">
                  <c:v>46474165.900000006</c:v>
                </c:pt>
                <c:pt idx="8">
                  <c:v>44377500.640000001</c:v>
                </c:pt>
                <c:pt idx="9">
                  <c:v>48534460.350000016</c:v>
                </c:pt>
                <c:pt idx="10">
                  <c:v>50060807.780000001</c:v>
                </c:pt>
                <c:pt idx="11">
                  <c:v>53754440.309999995</c:v>
                </c:pt>
                <c:pt idx="12">
                  <c:v>50488595.370000012</c:v>
                </c:pt>
                <c:pt idx="13">
                  <c:v>59573447.82</c:v>
                </c:pt>
                <c:pt idx="14">
                  <c:v>59781061.780000009</c:v>
                </c:pt>
                <c:pt idx="15">
                  <c:v>55835155.79999999</c:v>
                </c:pt>
                <c:pt idx="16">
                  <c:v>53216168.200000003</c:v>
                </c:pt>
                <c:pt idx="17">
                  <c:v>54684198.04999999</c:v>
                </c:pt>
                <c:pt idx="18">
                  <c:v>53986112.870000005</c:v>
                </c:pt>
                <c:pt idx="19">
                  <c:v>51823778.13000001</c:v>
                </c:pt>
                <c:pt idx="20">
                  <c:v>51346804.550000004</c:v>
                </c:pt>
                <c:pt idx="21">
                  <c:v>56003434.159999996</c:v>
                </c:pt>
                <c:pt idx="22">
                  <c:v>58691495.979999997</c:v>
                </c:pt>
                <c:pt idx="23">
                  <c:v>65376099.82</c:v>
                </c:pt>
                <c:pt idx="24">
                  <c:v>59564322.760000013</c:v>
                </c:pt>
                <c:pt idx="25">
                  <c:v>58478115.700000003</c:v>
                </c:pt>
                <c:pt idx="26">
                  <c:v>61889272.660000004</c:v>
                </c:pt>
                <c:pt idx="27">
                  <c:v>55603459.06000001</c:v>
                </c:pt>
                <c:pt idx="28">
                  <c:v>54947054.069999993</c:v>
                </c:pt>
                <c:pt idx="29">
                  <c:v>54674346.43</c:v>
                </c:pt>
                <c:pt idx="30">
                  <c:v>52319721.660000004</c:v>
                </c:pt>
                <c:pt idx="31">
                  <c:v>47845812.68</c:v>
                </c:pt>
                <c:pt idx="32">
                  <c:v>46059294.000000007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8D35-4968-9500-8E838875EA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1003264"/>
        <c:axId val="101004800"/>
      </c:lineChart>
      <c:catAx>
        <c:axId val="101003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004800"/>
        <c:crosses val="autoZero"/>
        <c:auto val="1"/>
        <c:lblAlgn val="ctr"/>
        <c:lblOffset val="100"/>
        <c:noMultiLvlLbl val="0"/>
      </c:catAx>
      <c:valAx>
        <c:axId val="10100480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01003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CCD33-D02A-418F-9DAC-94F7B7A9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9</Pages>
  <Words>1861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Bakradze</dc:creator>
  <cp:keywords/>
  <dc:description/>
  <cp:lastModifiedBy>Salome Goginashvili</cp:lastModifiedBy>
  <cp:revision>14</cp:revision>
  <dcterms:created xsi:type="dcterms:W3CDTF">2017-11-08T06:58:00Z</dcterms:created>
  <dcterms:modified xsi:type="dcterms:W3CDTF">2017-11-09T09:43:00Z</dcterms:modified>
</cp:coreProperties>
</file>